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958" w:rsidRPr="00B512EC" w:rsidRDefault="00905958" w:rsidP="00905958">
      <w:pPr>
        <w:ind w:right="753"/>
        <w:rPr>
          <w:rFonts w:ascii="Georgia" w:hAnsi="Georgia"/>
          <w:b/>
          <w:smallCaps/>
          <w:sz w:val="36"/>
          <w:szCs w:val="36"/>
        </w:rPr>
      </w:pPr>
      <w:r w:rsidRPr="00B512EC">
        <w:rPr>
          <w:rFonts w:ascii="Georgia" w:hAnsi="Georgia"/>
          <w:b/>
          <w:smallCaps/>
          <w:sz w:val="36"/>
          <w:szCs w:val="36"/>
        </w:rPr>
        <w:t xml:space="preserve">Private Real Estate Investing Builds Wealth While Improving </w:t>
      </w:r>
      <w:r w:rsidR="008525DD" w:rsidRPr="00B512EC">
        <w:rPr>
          <w:rFonts w:ascii="Georgia" w:hAnsi="Georgia"/>
          <w:b/>
          <w:smallCaps/>
          <w:sz w:val="36"/>
          <w:szCs w:val="36"/>
        </w:rPr>
        <w:t xml:space="preserve">Our </w:t>
      </w:r>
      <w:r w:rsidRPr="00B512EC">
        <w:rPr>
          <w:rFonts w:ascii="Georgia" w:hAnsi="Georgia"/>
          <w:b/>
          <w:smallCaps/>
          <w:sz w:val="36"/>
          <w:szCs w:val="36"/>
        </w:rPr>
        <w:t>Communities</w:t>
      </w:r>
    </w:p>
    <w:p w:rsidR="00905958" w:rsidRDefault="00905958" w:rsidP="00905958">
      <w:pPr>
        <w:ind w:left="684" w:right="753"/>
        <w:rPr>
          <w:rFonts w:ascii="Arial" w:hAnsi="Arial"/>
          <w:sz w:val="28"/>
        </w:rPr>
      </w:pPr>
    </w:p>
    <w:p w:rsidR="00905958" w:rsidRDefault="0068712B" w:rsidP="00B512EC">
      <w:pPr>
        <w:ind w:left="57" w:right="12"/>
        <w:rPr>
          <w:rFonts w:ascii="Georgia" w:hAnsi="Georgia"/>
        </w:rPr>
      </w:pPr>
      <w:r w:rsidRPr="003A0244">
        <w:rPr>
          <w:rFonts w:ascii="Georgia" w:hAnsi="Georgia"/>
          <w:color w:val="002060"/>
        </w:rPr>
        <w:t xml:space="preserve">Millennium Capital Investments, </w:t>
      </w:r>
      <w:proofErr w:type="gramStart"/>
      <w:r w:rsidRPr="003A0244">
        <w:rPr>
          <w:rFonts w:ascii="Georgia" w:hAnsi="Georgia"/>
          <w:color w:val="002060"/>
        </w:rPr>
        <w:t>LLC</w:t>
      </w:r>
      <w:r>
        <w:rPr>
          <w:rFonts w:ascii="Georgia" w:hAnsi="Georgia"/>
          <w:color w:val="FF0000"/>
        </w:rPr>
        <w:t xml:space="preserve"> </w:t>
      </w:r>
      <w:r w:rsidR="00905958" w:rsidRPr="00B512EC">
        <w:rPr>
          <w:rFonts w:ascii="Georgia" w:hAnsi="Georgia"/>
          <w:color w:val="FF0000"/>
        </w:rPr>
        <w:t xml:space="preserve"> </w:t>
      </w:r>
      <w:r w:rsidR="00905958" w:rsidRPr="00B512EC">
        <w:rPr>
          <w:rFonts w:ascii="Georgia" w:hAnsi="Georgia"/>
        </w:rPr>
        <w:t>is</w:t>
      </w:r>
      <w:proofErr w:type="gramEnd"/>
      <w:r w:rsidR="00905958" w:rsidRPr="00B512EC">
        <w:rPr>
          <w:rFonts w:ascii="Georgia" w:hAnsi="Georgia"/>
        </w:rPr>
        <w:t xml:space="preserve"> a local</w:t>
      </w:r>
      <w:r w:rsidR="008525DD" w:rsidRPr="00B512EC">
        <w:rPr>
          <w:rFonts w:ascii="Georgia" w:hAnsi="Georgia"/>
          <w:color w:val="FF0000"/>
        </w:rPr>
        <w:t xml:space="preserve"> </w:t>
      </w:r>
      <w:r w:rsidR="008525DD" w:rsidRPr="003A0244">
        <w:rPr>
          <w:rFonts w:ascii="Georgia" w:hAnsi="Georgia"/>
          <w:color w:val="002060"/>
        </w:rPr>
        <w:t xml:space="preserve">Cleveland </w:t>
      </w:r>
      <w:r w:rsidR="00905958" w:rsidRPr="00B512EC">
        <w:rPr>
          <w:rFonts w:ascii="Georgia" w:hAnsi="Georgia"/>
        </w:rPr>
        <w:t xml:space="preserve">company that purchases and renovates residential properties throughout </w:t>
      </w:r>
      <w:r w:rsidR="008525DD" w:rsidRPr="003A0244">
        <w:rPr>
          <w:rFonts w:ascii="Georgia" w:hAnsi="Georgia"/>
          <w:color w:val="002060"/>
        </w:rPr>
        <w:t xml:space="preserve">Cuyahoga </w:t>
      </w:r>
      <w:r w:rsidR="003A0244" w:rsidRPr="003A0244">
        <w:rPr>
          <w:rFonts w:ascii="Georgia" w:hAnsi="Georgia"/>
          <w:color w:val="002060"/>
        </w:rPr>
        <w:t>and Medina Counties</w:t>
      </w:r>
      <w:r w:rsidR="00905958" w:rsidRPr="00B512EC">
        <w:rPr>
          <w:rFonts w:ascii="Georgia" w:hAnsi="Georgia"/>
        </w:rPr>
        <w:t xml:space="preserve"> just like this one.  In fact, here is one of our properties we recently completed renovations on.</w:t>
      </w:r>
    </w:p>
    <w:p w:rsidR="00B512EC" w:rsidRDefault="00B512EC" w:rsidP="00B512EC">
      <w:pPr>
        <w:ind w:left="57" w:right="12"/>
        <w:rPr>
          <w:rFonts w:ascii="Georgia" w:hAnsi="Georgia"/>
        </w:rPr>
      </w:pPr>
    </w:p>
    <w:tbl>
      <w:tblPr>
        <w:tblStyle w:val="TableGrid"/>
        <w:tblW w:w="0" w:type="auto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9"/>
        <w:gridCol w:w="4760"/>
      </w:tblGrid>
      <w:tr w:rsidR="00B512EC" w:rsidTr="008E202B">
        <w:trPr>
          <w:trHeight w:val="3978"/>
        </w:trPr>
        <w:tc>
          <w:tcPr>
            <w:tcW w:w="4759" w:type="dxa"/>
          </w:tcPr>
          <w:p w:rsidR="00B512EC" w:rsidRDefault="00B512EC" w:rsidP="00B512EC">
            <w:pPr>
              <w:ind w:right="12"/>
              <w:jc w:val="center"/>
              <w:rPr>
                <w:rFonts w:ascii="Georgia" w:hAnsi="Georgia"/>
              </w:rPr>
            </w:pPr>
            <w:r w:rsidRPr="00B512EC">
              <w:rPr>
                <w:rFonts w:ascii="Georgia" w:hAnsi="Georgia"/>
                <w:noProof/>
              </w:rPr>
              <w:drawing>
                <wp:inline distT="0" distB="0" distL="0" distR="0">
                  <wp:extent cx="2867025" cy="2124075"/>
                  <wp:effectExtent l="19050" t="0" r="9525" b="0"/>
                  <wp:docPr id="5" name="Picture 0" descr="Bef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fore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12EC" w:rsidRDefault="00B512EC" w:rsidP="00B512EC">
            <w:pPr>
              <w:ind w:right="12"/>
              <w:jc w:val="center"/>
              <w:rPr>
                <w:rFonts w:ascii="Georgia" w:hAnsi="Georgia"/>
              </w:rPr>
            </w:pPr>
          </w:p>
          <w:p w:rsidR="00B512EC" w:rsidRPr="00B512EC" w:rsidRDefault="00B512EC" w:rsidP="00B512EC">
            <w:pPr>
              <w:ind w:right="12"/>
              <w:jc w:val="center"/>
              <w:rPr>
                <w:rFonts w:ascii="Georgia" w:hAnsi="Georgia"/>
                <w:b/>
              </w:rPr>
            </w:pPr>
            <w:r w:rsidRPr="00B512EC">
              <w:rPr>
                <w:rFonts w:ascii="Georgia" w:hAnsi="Georgia"/>
                <w:b/>
              </w:rPr>
              <w:t>Before</w:t>
            </w:r>
          </w:p>
        </w:tc>
        <w:tc>
          <w:tcPr>
            <w:tcW w:w="4760" w:type="dxa"/>
          </w:tcPr>
          <w:p w:rsidR="00B512EC" w:rsidRDefault="00B512EC" w:rsidP="00B512EC">
            <w:pPr>
              <w:ind w:right="12"/>
              <w:jc w:val="center"/>
              <w:rPr>
                <w:rFonts w:ascii="Georgia" w:hAnsi="Georgia"/>
              </w:rPr>
            </w:pPr>
            <w:r w:rsidRPr="00B512EC">
              <w:rPr>
                <w:rFonts w:ascii="Georgia" w:hAnsi="Georgia"/>
                <w:noProof/>
              </w:rPr>
              <w:drawing>
                <wp:inline distT="0" distB="0" distL="0" distR="0">
                  <wp:extent cx="2867025" cy="2124075"/>
                  <wp:effectExtent l="19050" t="0" r="9525" b="0"/>
                  <wp:docPr id="4" name="Picture 1" descr="Af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ter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12EC" w:rsidRDefault="00B512EC" w:rsidP="00B512EC">
            <w:pPr>
              <w:ind w:right="12"/>
              <w:jc w:val="center"/>
              <w:rPr>
                <w:rFonts w:ascii="Georgia" w:hAnsi="Georgia"/>
              </w:rPr>
            </w:pPr>
          </w:p>
          <w:p w:rsidR="00B512EC" w:rsidRPr="00B512EC" w:rsidRDefault="00B512EC" w:rsidP="00B512EC">
            <w:pPr>
              <w:ind w:right="12"/>
              <w:jc w:val="center"/>
              <w:rPr>
                <w:rFonts w:ascii="Georgia" w:hAnsi="Georgia"/>
                <w:b/>
              </w:rPr>
            </w:pPr>
            <w:r w:rsidRPr="00B512EC">
              <w:rPr>
                <w:rFonts w:ascii="Georgia" w:hAnsi="Georgia"/>
                <w:b/>
              </w:rPr>
              <w:t>After</w:t>
            </w:r>
          </w:p>
        </w:tc>
      </w:tr>
    </w:tbl>
    <w:p w:rsidR="00221460" w:rsidRDefault="008E202B" w:rsidP="00B512EC">
      <w:pPr>
        <w:ind w:right="12"/>
        <w:rPr>
          <w:rFonts w:ascii="Georgia" w:hAnsi="Georgia"/>
        </w:rPr>
      </w:pPr>
      <w:r w:rsidRPr="00B512EC">
        <w:rPr>
          <w:rFonts w:ascii="Georgia" w:hAnsi="Georgia"/>
        </w:rPr>
        <w:t xml:space="preserve">Many of our properties are funded with mortgage companies and banks, such as </w:t>
      </w:r>
      <w:r>
        <w:rPr>
          <w:rFonts w:ascii="Georgia" w:hAnsi="Georgia"/>
        </w:rPr>
        <w:t>Chase, Bank of America and Wells Fargo</w:t>
      </w:r>
      <w:r w:rsidRPr="00B512EC">
        <w:rPr>
          <w:rFonts w:ascii="Georgia" w:hAnsi="Georgia"/>
        </w:rPr>
        <w:t xml:space="preserve">.  In addition, many of our properties are funded with </w:t>
      </w:r>
      <w:r w:rsidRPr="00B512EC">
        <w:rPr>
          <w:rFonts w:ascii="Georgia" w:hAnsi="Georgia"/>
          <w:b/>
          <w:u w:val="single"/>
        </w:rPr>
        <w:t>private investors</w:t>
      </w:r>
      <w:r w:rsidRPr="00B512EC">
        <w:rPr>
          <w:rFonts w:ascii="Georgia" w:hAnsi="Georgia"/>
        </w:rPr>
        <w:t xml:space="preserve"> like yourself.</w:t>
      </w:r>
    </w:p>
    <w:p w:rsidR="00221460" w:rsidRDefault="00221460" w:rsidP="00B512EC">
      <w:pPr>
        <w:ind w:right="12"/>
        <w:rPr>
          <w:rFonts w:ascii="Georgia" w:hAnsi="Georgia"/>
        </w:rPr>
      </w:pPr>
    </w:p>
    <w:tbl>
      <w:tblPr>
        <w:tblStyle w:val="TableGrid"/>
        <w:tblW w:w="0" w:type="auto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9"/>
        <w:gridCol w:w="4760"/>
      </w:tblGrid>
      <w:tr w:rsidR="00221460" w:rsidTr="00132458">
        <w:trPr>
          <w:trHeight w:val="3978"/>
        </w:trPr>
        <w:tc>
          <w:tcPr>
            <w:tcW w:w="4699" w:type="dxa"/>
          </w:tcPr>
          <w:p w:rsidR="00221460" w:rsidRDefault="00221460" w:rsidP="00132458">
            <w:pPr>
              <w:ind w:right="12"/>
              <w:jc w:val="center"/>
              <w:rPr>
                <w:rFonts w:ascii="Georgia" w:hAnsi="Georgia"/>
              </w:rPr>
            </w:pPr>
            <w:r w:rsidRPr="00B512EC">
              <w:rPr>
                <w:rFonts w:ascii="Georgia" w:hAnsi="Georgia"/>
                <w:noProof/>
              </w:rPr>
              <w:drawing>
                <wp:inline distT="0" distB="0" distL="0" distR="0">
                  <wp:extent cx="2867025" cy="2124075"/>
                  <wp:effectExtent l="19050" t="0" r="9525" b="0"/>
                  <wp:docPr id="1" name="Picture 0" descr="Bef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fo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1460" w:rsidRDefault="00221460" w:rsidP="00132458">
            <w:pPr>
              <w:ind w:right="12"/>
              <w:jc w:val="center"/>
              <w:rPr>
                <w:rFonts w:ascii="Georgia" w:hAnsi="Georgia"/>
              </w:rPr>
            </w:pPr>
          </w:p>
          <w:p w:rsidR="00221460" w:rsidRPr="00B512EC" w:rsidRDefault="00221460" w:rsidP="00132458">
            <w:pPr>
              <w:ind w:right="12"/>
              <w:jc w:val="center"/>
              <w:rPr>
                <w:rFonts w:ascii="Georgia" w:hAnsi="Georgia"/>
                <w:b/>
              </w:rPr>
            </w:pPr>
            <w:r w:rsidRPr="00B512EC">
              <w:rPr>
                <w:rFonts w:ascii="Georgia" w:hAnsi="Georgia"/>
                <w:b/>
              </w:rPr>
              <w:t>Before</w:t>
            </w:r>
          </w:p>
        </w:tc>
        <w:tc>
          <w:tcPr>
            <w:tcW w:w="4700" w:type="dxa"/>
          </w:tcPr>
          <w:p w:rsidR="00221460" w:rsidRDefault="00221460" w:rsidP="00132458">
            <w:pPr>
              <w:ind w:right="12"/>
              <w:jc w:val="center"/>
              <w:rPr>
                <w:rFonts w:ascii="Georgia" w:hAnsi="Georgia"/>
              </w:rPr>
            </w:pPr>
            <w:r w:rsidRPr="00B512EC">
              <w:rPr>
                <w:rFonts w:ascii="Georgia" w:hAnsi="Georgia"/>
                <w:noProof/>
              </w:rPr>
              <w:drawing>
                <wp:inline distT="0" distB="0" distL="0" distR="0">
                  <wp:extent cx="2867025" cy="2124075"/>
                  <wp:effectExtent l="19050" t="0" r="9525" b="0"/>
                  <wp:docPr id="2" name="Picture 1" descr="Af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ter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1460" w:rsidRDefault="00221460" w:rsidP="00132458">
            <w:pPr>
              <w:ind w:right="12"/>
              <w:jc w:val="center"/>
              <w:rPr>
                <w:rFonts w:ascii="Georgia" w:hAnsi="Georgia"/>
              </w:rPr>
            </w:pPr>
          </w:p>
          <w:p w:rsidR="00221460" w:rsidRPr="00B512EC" w:rsidRDefault="00221460" w:rsidP="00132458">
            <w:pPr>
              <w:ind w:right="12"/>
              <w:jc w:val="center"/>
              <w:rPr>
                <w:rFonts w:ascii="Georgia" w:hAnsi="Georgia"/>
                <w:b/>
              </w:rPr>
            </w:pPr>
            <w:r w:rsidRPr="00B512EC">
              <w:rPr>
                <w:rFonts w:ascii="Georgia" w:hAnsi="Georgia"/>
                <w:b/>
              </w:rPr>
              <w:t>After</w:t>
            </w:r>
          </w:p>
        </w:tc>
      </w:tr>
    </w:tbl>
    <w:p w:rsidR="00221460" w:rsidRDefault="00221460" w:rsidP="00B512EC">
      <w:pPr>
        <w:ind w:right="12"/>
        <w:rPr>
          <w:rFonts w:ascii="Georgia" w:hAnsi="Georgia"/>
        </w:rPr>
      </w:pPr>
    </w:p>
    <w:p w:rsidR="00905958" w:rsidRDefault="00ED77D7" w:rsidP="008E202B">
      <w:pPr>
        <w:ind w:right="12"/>
        <w:rPr>
          <w:rFonts w:ascii="Georgia" w:hAnsi="Georgia"/>
        </w:rPr>
      </w:pPr>
      <w:r>
        <w:rPr>
          <w:rFonts w:ascii="Georgia" w:hAnsi="Georgia"/>
        </w:rPr>
        <w:lastRenderedPageBreak/>
        <w:t>Banks pay their investors 1% to 2</w:t>
      </w:r>
      <w:r w:rsidR="00905958" w:rsidRPr="00B512EC">
        <w:rPr>
          <w:rFonts w:ascii="Georgia" w:hAnsi="Georgia"/>
        </w:rPr>
        <w:t>% on CD’s (Certificates of Deposit).  Then the banks lend</w:t>
      </w:r>
      <w:r>
        <w:rPr>
          <w:rFonts w:ascii="Georgia" w:hAnsi="Georgia"/>
        </w:rPr>
        <w:t xml:space="preserve"> the money out to you and I at 5</w:t>
      </w:r>
      <w:r w:rsidR="00905958" w:rsidRPr="00B512EC">
        <w:rPr>
          <w:rFonts w:ascii="Georgia" w:hAnsi="Georgia"/>
        </w:rPr>
        <w:t>% to 8%.  They make the spread between what they pay on a CD and what they charge borrowers.</w:t>
      </w:r>
    </w:p>
    <w:p w:rsidR="008E202B" w:rsidRDefault="008E202B" w:rsidP="00905958">
      <w:pPr>
        <w:ind w:left="57" w:right="12"/>
        <w:rPr>
          <w:rFonts w:ascii="Georgia" w:hAnsi="Georgia"/>
        </w:rPr>
      </w:pPr>
    </w:p>
    <w:tbl>
      <w:tblPr>
        <w:tblStyle w:val="TableGrid"/>
        <w:tblW w:w="0" w:type="auto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9"/>
        <w:gridCol w:w="4760"/>
      </w:tblGrid>
      <w:tr w:rsidR="008E202B" w:rsidTr="00132458">
        <w:trPr>
          <w:trHeight w:val="3978"/>
        </w:trPr>
        <w:tc>
          <w:tcPr>
            <w:tcW w:w="4699" w:type="dxa"/>
          </w:tcPr>
          <w:p w:rsidR="008E202B" w:rsidRDefault="008E202B" w:rsidP="00132458">
            <w:pPr>
              <w:ind w:right="12"/>
              <w:jc w:val="center"/>
              <w:rPr>
                <w:rFonts w:ascii="Georgia" w:hAnsi="Georgia"/>
              </w:rPr>
            </w:pPr>
            <w:r w:rsidRPr="00B512EC">
              <w:rPr>
                <w:rFonts w:ascii="Georgia" w:hAnsi="Georgia"/>
                <w:noProof/>
              </w:rPr>
              <w:drawing>
                <wp:inline distT="0" distB="0" distL="0" distR="0">
                  <wp:extent cx="2867025" cy="2124075"/>
                  <wp:effectExtent l="19050" t="0" r="9525" b="0"/>
                  <wp:docPr id="3" name="Picture 0" descr="Bef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for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02B" w:rsidRDefault="008E202B" w:rsidP="00132458">
            <w:pPr>
              <w:ind w:right="12"/>
              <w:jc w:val="center"/>
              <w:rPr>
                <w:rFonts w:ascii="Georgia" w:hAnsi="Georgia"/>
              </w:rPr>
            </w:pPr>
          </w:p>
          <w:p w:rsidR="008E202B" w:rsidRPr="00B512EC" w:rsidRDefault="008E202B" w:rsidP="00132458">
            <w:pPr>
              <w:ind w:right="12"/>
              <w:jc w:val="center"/>
              <w:rPr>
                <w:rFonts w:ascii="Georgia" w:hAnsi="Georgia"/>
                <w:b/>
              </w:rPr>
            </w:pPr>
            <w:r w:rsidRPr="00B512EC">
              <w:rPr>
                <w:rFonts w:ascii="Georgia" w:hAnsi="Georgia"/>
                <w:b/>
              </w:rPr>
              <w:t>Before</w:t>
            </w:r>
          </w:p>
        </w:tc>
        <w:tc>
          <w:tcPr>
            <w:tcW w:w="4700" w:type="dxa"/>
          </w:tcPr>
          <w:p w:rsidR="008E202B" w:rsidRDefault="008E202B" w:rsidP="00132458">
            <w:pPr>
              <w:ind w:right="12"/>
              <w:jc w:val="center"/>
              <w:rPr>
                <w:rFonts w:ascii="Georgia" w:hAnsi="Georgia"/>
              </w:rPr>
            </w:pPr>
            <w:r w:rsidRPr="00B512EC">
              <w:rPr>
                <w:rFonts w:ascii="Georgia" w:hAnsi="Georgia"/>
                <w:noProof/>
              </w:rPr>
              <w:drawing>
                <wp:inline distT="0" distB="0" distL="0" distR="0">
                  <wp:extent cx="2867025" cy="2124075"/>
                  <wp:effectExtent l="19050" t="0" r="9525" b="0"/>
                  <wp:docPr id="6" name="Picture 1" descr="Af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ter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02B" w:rsidRDefault="008E202B" w:rsidP="00132458">
            <w:pPr>
              <w:ind w:right="12"/>
              <w:jc w:val="center"/>
              <w:rPr>
                <w:rFonts w:ascii="Georgia" w:hAnsi="Georgia"/>
              </w:rPr>
            </w:pPr>
          </w:p>
          <w:p w:rsidR="008E202B" w:rsidRPr="00B512EC" w:rsidRDefault="008E202B" w:rsidP="00132458">
            <w:pPr>
              <w:ind w:right="12"/>
              <w:jc w:val="center"/>
              <w:rPr>
                <w:rFonts w:ascii="Georgia" w:hAnsi="Georgia"/>
                <w:b/>
              </w:rPr>
            </w:pPr>
            <w:r w:rsidRPr="00B512EC">
              <w:rPr>
                <w:rFonts w:ascii="Georgia" w:hAnsi="Georgia"/>
                <w:b/>
              </w:rPr>
              <w:t>After</w:t>
            </w:r>
          </w:p>
        </w:tc>
      </w:tr>
    </w:tbl>
    <w:p w:rsidR="00905958" w:rsidRPr="00B512EC" w:rsidRDefault="00905958" w:rsidP="008E202B">
      <w:pPr>
        <w:ind w:right="12"/>
        <w:rPr>
          <w:rFonts w:ascii="Georgia" w:hAnsi="Georgia"/>
        </w:rPr>
      </w:pPr>
    </w:p>
    <w:p w:rsidR="00905958" w:rsidRPr="00B512EC" w:rsidRDefault="00905958" w:rsidP="00905958">
      <w:pPr>
        <w:ind w:left="57" w:right="12"/>
        <w:rPr>
          <w:rFonts w:ascii="Georgia" w:hAnsi="Georgia"/>
        </w:rPr>
      </w:pPr>
      <w:r w:rsidRPr="00B512EC">
        <w:rPr>
          <w:rFonts w:ascii="Georgia" w:hAnsi="Georgia"/>
        </w:rPr>
        <w:t xml:space="preserve">At </w:t>
      </w:r>
      <w:r w:rsidR="0068712B" w:rsidRPr="003A0244">
        <w:rPr>
          <w:rFonts w:ascii="Georgia" w:hAnsi="Georgia"/>
          <w:color w:val="002060"/>
        </w:rPr>
        <w:t xml:space="preserve">Millennium Capital Investments, </w:t>
      </w:r>
      <w:proofErr w:type="gramStart"/>
      <w:r w:rsidR="0068712B" w:rsidRPr="003A0244">
        <w:rPr>
          <w:rFonts w:ascii="Georgia" w:hAnsi="Georgia"/>
          <w:color w:val="002060"/>
        </w:rPr>
        <w:t>LLC</w:t>
      </w:r>
      <w:r w:rsidR="0068712B">
        <w:rPr>
          <w:rFonts w:ascii="Georgia" w:hAnsi="Georgia"/>
          <w:color w:val="FF0000"/>
        </w:rPr>
        <w:t xml:space="preserve"> </w:t>
      </w:r>
      <w:r w:rsidR="008525DD" w:rsidRPr="00B512EC">
        <w:rPr>
          <w:rFonts w:ascii="Georgia" w:hAnsi="Georgia"/>
          <w:color w:val="FF0000"/>
        </w:rPr>
        <w:t>,</w:t>
      </w:r>
      <w:proofErr w:type="gramEnd"/>
      <w:r w:rsidR="008525DD" w:rsidRPr="00B512EC">
        <w:rPr>
          <w:rFonts w:ascii="Georgia" w:hAnsi="Georgia"/>
          <w:color w:val="FF0000"/>
        </w:rPr>
        <w:t xml:space="preserve"> </w:t>
      </w:r>
      <w:r w:rsidRPr="00B512EC">
        <w:rPr>
          <w:rFonts w:ascii="Georgia" w:hAnsi="Georgia"/>
        </w:rPr>
        <w:t xml:space="preserve">our investors earn 9.5% fixed up to five years.  We also work with many investors who have IRA funds available, so they can take full advantage of the tax-deferral status for retirement savings.  </w:t>
      </w:r>
    </w:p>
    <w:p w:rsidR="00905958" w:rsidRPr="00B512EC" w:rsidRDefault="00905958" w:rsidP="00905958">
      <w:pPr>
        <w:ind w:left="57" w:right="12"/>
        <w:rPr>
          <w:rFonts w:ascii="Georgia" w:hAnsi="Georgia"/>
        </w:rPr>
      </w:pPr>
    </w:p>
    <w:p w:rsidR="00905958" w:rsidRPr="00B512EC" w:rsidRDefault="00905958" w:rsidP="00905958">
      <w:pPr>
        <w:ind w:left="57" w:right="12"/>
        <w:rPr>
          <w:rFonts w:ascii="Georgia" w:hAnsi="Georgia"/>
        </w:rPr>
      </w:pPr>
      <w:r w:rsidRPr="00B512EC">
        <w:rPr>
          <w:rFonts w:ascii="Georgia" w:hAnsi="Georgia"/>
        </w:rPr>
        <w:t xml:space="preserve">Call us at </w:t>
      </w:r>
      <w:r w:rsidR="008525DD" w:rsidRPr="003A0244">
        <w:rPr>
          <w:rFonts w:ascii="Georgia" w:hAnsi="Georgia"/>
          <w:color w:val="002060"/>
        </w:rPr>
        <w:t>440-545-2071</w:t>
      </w:r>
      <w:r w:rsidRPr="00B512EC">
        <w:rPr>
          <w:rFonts w:ascii="Georgia" w:hAnsi="Georgia"/>
        </w:rPr>
        <w:t xml:space="preserve"> to learn more about your investment options and/or to reserve a seat at one of our upcoming seminars.  Find out what your banker and broker won’t tell you… how real estate really builds wealth.</w:t>
      </w:r>
    </w:p>
    <w:p w:rsidR="00905958" w:rsidRDefault="00905958" w:rsidP="00905958"/>
    <w:p w:rsidR="008525DD" w:rsidRPr="005D0323" w:rsidRDefault="0068712B" w:rsidP="008525DD">
      <w:pPr>
        <w:jc w:val="center"/>
        <w:rPr>
          <w:rFonts w:ascii="Georgia" w:hAnsi="Georgia"/>
          <w:b/>
          <w:sz w:val="36"/>
          <w:szCs w:val="36"/>
        </w:rPr>
      </w:pPr>
      <w:r>
        <w:rPr>
          <w:rFonts w:ascii="Georgia" w:hAnsi="Georgia"/>
          <w:b/>
          <w:sz w:val="36"/>
          <w:szCs w:val="36"/>
        </w:rPr>
        <w:t xml:space="preserve">Millennium Capital Investments, LLC </w:t>
      </w:r>
    </w:p>
    <w:p w:rsidR="008525DD" w:rsidRPr="005D0323" w:rsidRDefault="008525DD" w:rsidP="008525DD">
      <w:pPr>
        <w:jc w:val="center"/>
        <w:rPr>
          <w:rFonts w:ascii="Georgia" w:hAnsi="Georgia"/>
        </w:rPr>
      </w:pPr>
      <w:r w:rsidRPr="005D0323">
        <w:rPr>
          <w:rFonts w:ascii="Georgia" w:hAnsi="Georgia"/>
        </w:rPr>
        <w:t xml:space="preserve">6659 Pearl </w:t>
      </w:r>
      <w:r w:rsidR="00721C19">
        <w:rPr>
          <w:rFonts w:ascii="Georgia" w:hAnsi="Georgia"/>
        </w:rPr>
        <w:t>Road Suite 202</w:t>
      </w:r>
      <w:r w:rsidRPr="005D0323">
        <w:rPr>
          <w:rFonts w:ascii="Georgia" w:hAnsi="Georgia"/>
        </w:rPr>
        <w:t xml:space="preserve"> Parma </w:t>
      </w:r>
      <w:proofErr w:type="spellStart"/>
      <w:r w:rsidRPr="005D0323">
        <w:rPr>
          <w:rFonts w:ascii="Georgia" w:hAnsi="Georgia"/>
        </w:rPr>
        <w:t>Hts</w:t>
      </w:r>
      <w:proofErr w:type="spellEnd"/>
      <w:r w:rsidRPr="005D0323">
        <w:rPr>
          <w:rFonts w:ascii="Georgia" w:hAnsi="Georgia"/>
        </w:rPr>
        <w:t xml:space="preserve"> Ohio</w:t>
      </w:r>
    </w:p>
    <w:p w:rsidR="00905958" w:rsidRPr="00B512EC" w:rsidRDefault="008525DD" w:rsidP="00B512EC">
      <w:pPr>
        <w:jc w:val="center"/>
        <w:rPr>
          <w:rFonts w:ascii="Georgia" w:hAnsi="Georgia"/>
        </w:rPr>
      </w:pPr>
      <w:r w:rsidRPr="005D0323">
        <w:rPr>
          <w:rFonts w:ascii="Georgia" w:hAnsi="Georgia"/>
        </w:rPr>
        <w:t xml:space="preserve">Phone: 440-545-2071 Email: </w:t>
      </w:r>
      <w:hyperlink r:id="rId12" w:history="1">
        <w:r w:rsidRPr="00095CE4">
          <w:rPr>
            <w:rStyle w:val="Hyperlink"/>
            <w:rFonts w:ascii="Georgia" w:hAnsi="Georgia"/>
          </w:rPr>
          <w:t>jcantwell@srecnow.com</w:t>
        </w:r>
      </w:hyperlink>
    </w:p>
    <w:sectPr w:rsidR="00905958" w:rsidRPr="00B512EC" w:rsidSect="00022915">
      <w:headerReference w:type="even" r:id="rId13"/>
      <w:headerReference w:type="default" r:id="rId14"/>
      <w:headerReference w:type="first" r:id="rId15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95C" w:rsidRDefault="0062695C" w:rsidP="00022915">
      <w:r>
        <w:separator/>
      </w:r>
    </w:p>
  </w:endnote>
  <w:endnote w:type="continuationSeparator" w:id="0">
    <w:p w:rsidR="0062695C" w:rsidRDefault="0062695C" w:rsidP="000229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95C" w:rsidRDefault="0062695C" w:rsidP="00022915">
      <w:r>
        <w:separator/>
      </w:r>
    </w:p>
  </w:footnote>
  <w:footnote w:type="continuationSeparator" w:id="0">
    <w:p w:rsidR="0062695C" w:rsidRDefault="0062695C" w:rsidP="000229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915" w:rsidRDefault="00ED16D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19526" o:spid="_x0000_s2053" type="#_x0000_t75" style="position:absolute;margin-left:0;margin-top:0;width:612pt;height:11in;z-index:-251656704;mso-position-horizontal:center;mso-position-horizontal-relative:margin;mso-position-vertical:center;mso-position-vertical-relative:margin" o:allowincell="f">
          <v:imagedata r:id="rId1" o:title="PgBg"/>
          <w10:wrap anchorx="margin" anchory="margin"/>
        </v:shape>
      </w:pict>
    </w:r>
    <w:r>
      <w:rPr>
        <w:noProof/>
      </w:rPr>
      <w:pict>
        <v:shape id="WordPictureWatermark171601896" o:spid="_x0000_s2050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2" o:title="PgB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915" w:rsidRDefault="00ED16D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19527" o:spid="_x0000_s2054" type="#_x0000_t75" style="position:absolute;margin-left:-1in;margin-top:-129pt;width:612pt;height:11in;z-index:-251655680;mso-position-horizontal-relative:margin;mso-position-vertical-relative:margin" o:allowincell="f">
          <v:imagedata r:id="rId1" o:title="PgBg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915" w:rsidRDefault="00ED16D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19525" o:spid="_x0000_s2052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PgBg"/>
          <w10:wrap anchorx="margin" anchory="margin"/>
        </v:shape>
      </w:pict>
    </w:r>
    <w:r>
      <w:rPr>
        <w:noProof/>
      </w:rPr>
      <w:pict>
        <v:shape id="WordPictureWatermark171601895" o:spid="_x0000_s2049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2" o:title="PgBg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22915"/>
    <w:rsid w:val="00022915"/>
    <w:rsid w:val="00043927"/>
    <w:rsid w:val="000D62CD"/>
    <w:rsid w:val="00175E43"/>
    <w:rsid w:val="001A0FD0"/>
    <w:rsid w:val="00221460"/>
    <w:rsid w:val="002926AD"/>
    <w:rsid w:val="003A0244"/>
    <w:rsid w:val="003E185D"/>
    <w:rsid w:val="00407F38"/>
    <w:rsid w:val="00520AFD"/>
    <w:rsid w:val="00581BC5"/>
    <w:rsid w:val="00582502"/>
    <w:rsid w:val="005A5E37"/>
    <w:rsid w:val="0062695C"/>
    <w:rsid w:val="0068712B"/>
    <w:rsid w:val="00721C19"/>
    <w:rsid w:val="00756A15"/>
    <w:rsid w:val="0082291F"/>
    <w:rsid w:val="008472C7"/>
    <w:rsid w:val="008525DD"/>
    <w:rsid w:val="008D7B6F"/>
    <w:rsid w:val="008E202B"/>
    <w:rsid w:val="00905958"/>
    <w:rsid w:val="00B512EC"/>
    <w:rsid w:val="00C17780"/>
    <w:rsid w:val="00D24E09"/>
    <w:rsid w:val="00ED16D0"/>
    <w:rsid w:val="00ED77D7"/>
    <w:rsid w:val="00F75B6E"/>
    <w:rsid w:val="00FE7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E4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7B6F"/>
    <w:pPr>
      <w:keepNext/>
      <w:keepLines/>
      <w:spacing w:before="480"/>
      <w:outlineLvl w:val="0"/>
    </w:pPr>
    <w:rPr>
      <w:b/>
      <w:bCs/>
      <w:color w:val="808080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B6F"/>
    <w:pPr>
      <w:keepNext/>
      <w:keepLines/>
      <w:spacing w:before="200"/>
      <w:outlineLvl w:val="1"/>
    </w:pPr>
    <w:rPr>
      <w:b/>
      <w:bCs/>
      <w:color w:val="808080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7B6F"/>
    <w:rPr>
      <w:rFonts w:ascii="Trebuchet MS" w:eastAsia="Times New Roman" w:hAnsi="Trebuchet MS" w:cs="Times New Roman"/>
      <w:b/>
      <w:bCs/>
      <w:color w:val="808080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D7B6F"/>
    <w:rPr>
      <w:rFonts w:ascii="Trebuchet MS" w:eastAsia="Times New Roman" w:hAnsi="Trebuchet MS" w:cs="Times New Roman"/>
      <w:b/>
      <w:bCs/>
      <w:color w:val="808080"/>
      <w:sz w:val="32"/>
      <w:szCs w:val="26"/>
    </w:rPr>
  </w:style>
  <w:style w:type="paragraph" w:styleId="NoSpacing">
    <w:name w:val="No Spacing"/>
    <w:uiPriority w:val="1"/>
    <w:qFormat/>
    <w:rsid w:val="008D7B6F"/>
    <w:rPr>
      <w:rFonts w:ascii="Trebuchet MS" w:hAnsi="Trebuchet MS"/>
      <w:sz w:val="22"/>
      <w:szCs w:val="22"/>
    </w:rPr>
  </w:style>
  <w:style w:type="paragraph" w:styleId="ListParagraph">
    <w:name w:val="List Paragraph"/>
    <w:basedOn w:val="Normal"/>
    <w:uiPriority w:val="34"/>
    <w:qFormat/>
    <w:rsid w:val="008D7B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229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2915"/>
    <w:rPr>
      <w:rFonts w:ascii="Trebuchet MS" w:hAnsi="Trebuchet MS"/>
    </w:rPr>
  </w:style>
  <w:style w:type="paragraph" w:styleId="Footer">
    <w:name w:val="footer"/>
    <w:basedOn w:val="Normal"/>
    <w:link w:val="FooterChar"/>
    <w:uiPriority w:val="99"/>
    <w:semiHidden/>
    <w:unhideWhenUsed/>
    <w:rsid w:val="000229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2915"/>
    <w:rPr>
      <w:rFonts w:ascii="Trebuchet MS" w:hAnsi="Trebuchet MS"/>
    </w:rPr>
  </w:style>
  <w:style w:type="paragraph" w:styleId="Title">
    <w:name w:val="Title"/>
    <w:basedOn w:val="Normal"/>
    <w:link w:val="TitleChar"/>
    <w:qFormat/>
    <w:rsid w:val="00905958"/>
    <w:pPr>
      <w:pBdr>
        <w:top w:val="single" w:sz="4" w:space="3" w:color="339966"/>
        <w:between w:val="single" w:sz="4" w:space="1" w:color="339966"/>
      </w:pBdr>
      <w:jc w:val="center"/>
    </w:pPr>
    <w:rPr>
      <w:rFonts w:ascii="Arial Black" w:hAnsi="Arial Black"/>
      <w:b/>
      <w:bCs/>
      <w:color w:val="008000"/>
      <w:bdr w:val="single" w:sz="4" w:space="0" w:color="339966"/>
    </w:rPr>
  </w:style>
  <w:style w:type="character" w:customStyle="1" w:styleId="TitleChar">
    <w:name w:val="Title Char"/>
    <w:basedOn w:val="DefaultParagraphFont"/>
    <w:link w:val="Title"/>
    <w:rsid w:val="00905958"/>
    <w:rPr>
      <w:rFonts w:ascii="Arial Black" w:eastAsia="Times New Roman" w:hAnsi="Arial Black"/>
      <w:b/>
      <w:bCs/>
      <w:color w:val="008000"/>
      <w:sz w:val="24"/>
      <w:szCs w:val="24"/>
      <w:bdr w:val="single" w:sz="4" w:space="0" w:color="339966"/>
    </w:rPr>
  </w:style>
  <w:style w:type="character" w:styleId="Hyperlink">
    <w:name w:val="Hyperlink"/>
    <w:basedOn w:val="DefaultParagraphFont"/>
    <w:uiPriority w:val="99"/>
    <w:unhideWhenUsed/>
    <w:rsid w:val="008525D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2EC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512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jcantwell@srecnow.co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Masie</dc:creator>
  <cp:lastModifiedBy>Josh Cantwell</cp:lastModifiedBy>
  <cp:revision>9</cp:revision>
  <dcterms:created xsi:type="dcterms:W3CDTF">2011-09-09T13:07:00Z</dcterms:created>
  <dcterms:modified xsi:type="dcterms:W3CDTF">2012-05-04T02:29:00Z</dcterms:modified>
</cp:coreProperties>
</file>