
<file path=[Content_Types].xml><?xml version="1.0" encoding="utf-8"?>
<Types xmlns="http://schemas.openxmlformats.org/package/2006/content-types">
  <Override PartName="/word/footnotes.xml" ContentType="application/vnd.openxmlformats-officedocument.wordprocessingml.footnot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AB16BD" w:rsidRDefault="00AB16BD"/>
    <w:p w:rsidR="00AB16BD" w:rsidRDefault="00AB16BD"/>
    <w:p w:rsidR="004D43D7" w:rsidRDefault="004D43D7" w:rsidP="006A21AE">
      <w:pPr>
        <w:jc w:val="center"/>
        <w:rPr>
          <w:rStyle w:val="Strong"/>
          <w:rFonts w:ascii="Georgia" w:hAnsi="Georgia"/>
          <w:sz w:val="30"/>
          <w:szCs w:val="30"/>
        </w:rPr>
      </w:pPr>
    </w:p>
    <w:p w:rsidR="00AB16BD" w:rsidRPr="006A21AE" w:rsidRDefault="00AB16BD" w:rsidP="006A21AE">
      <w:pPr>
        <w:jc w:val="center"/>
        <w:rPr>
          <w:rStyle w:val="Strong"/>
          <w:rFonts w:ascii="Georgia" w:hAnsi="Georgia"/>
          <w:sz w:val="30"/>
          <w:szCs w:val="30"/>
        </w:rPr>
      </w:pPr>
      <w:r w:rsidRPr="006A21AE">
        <w:rPr>
          <w:rStyle w:val="Strong"/>
          <w:rFonts w:ascii="Georgia" w:hAnsi="Georgia"/>
          <w:sz w:val="30"/>
          <w:szCs w:val="30"/>
        </w:rPr>
        <w:t>INVESTMENT HIGHLIGHTS</w:t>
      </w:r>
    </w:p>
    <w:p w:rsidR="00AB16BD" w:rsidRDefault="00AB16BD">
      <w:pPr>
        <w:rPr>
          <w:b/>
          <w:sz w:val="20"/>
          <w:u w:val="single"/>
        </w:rPr>
      </w:pPr>
    </w:p>
    <w:p w:rsidR="00AB16BD" w:rsidRDefault="006A21AE" w:rsidP="006A21AE">
      <w:pPr>
        <w:rPr>
          <w:sz w:val="22"/>
        </w:rPr>
      </w:pPr>
      <w:r>
        <w:rPr>
          <w:b/>
          <w:smallCaps/>
          <w:sz w:val="22"/>
        </w:rPr>
        <w:t xml:space="preserve">Millennium Capital Investments, LLC </w:t>
      </w:r>
      <w:r w:rsidR="00AB16BD">
        <w:rPr>
          <w:sz w:val="22"/>
        </w:rPr>
        <w:t xml:space="preserve">offers investments in real estate mortgages for savings and retirement funds.  This program is IRA Eligible.  </w:t>
      </w:r>
    </w:p>
    <w:p w:rsidR="00AB16BD" w:rsidRDefault="00AB16BD">
      <w:pPr>
        <w:rPr>
          <w:b/>
          <w:sz w:val="22"/>
        </w:rPr>
      </w:pPr>
    </w:p>
    <w:tbl>
      <w:tblPr>
        <w:tblW w:w="0" w:type="auto"/>
        <w:tblInd w:w="648" w:type="dxa"/>
        <w:tblBorders>
          <w:top w:val="single" w:sz="4" w:space="0" w:color="auto"/>
          <w:left w:val="single" w:sz="4" w:space="0" w:color="auto"/>
          <w:bottom w:val="single" w:sz="4" w:space="0" w:color="auto"/>
          <w:right w:val="single" w:sz="4" w:space="0" w:color="auto"/>
          <w:insideV w:val="single" w:sz="4" w:space="0" w:color="auto"/>
        </w:tblBorders>
        <w:tblLayout w:type="fixed"/>
        <w:tblLook w:val="01E0"/>
      </w:tblPr>
      <w:tblGrid>
        <w:gridCol w:w="2340"/>
        <w:gridCol w:w="6840"/>
      </w:tblGrid>
      <w:tr w:rsidR="00AB16BD">
        <w:tc>
          <w:tcPr>
            <w:tcW w:w="2340" w:type="dxa"/>
          </w:tcPr>
          <w:p w:rsidR="00AB16BD" w:rsidRDefault="00AB16BD">
            <w:pPr>
              <w:rPr>
                <w:b/>
                <w:sz w:val="22"/>
              </w:rPr>
            </w:pPr>
            <w:r>
              <w:rPr>
                <w:b/>
                <w:sz w:val="22"/>
              </w:rPr>
              <w:t>Instrument:</w:t>
            </w:r>
          </w:p>
        </w:tc>
        <w:tc>
          <w:tcPr>
            <w:tcW w:w="6840" w:type="dxa"/>
          </w:tcPr>
          <w:p w:rsidR="00AB16BD" w:rsidRDefault="00AB16BD">
            <w:pPr>
              <w:rPr>
                <w:sz w:val="22"/>
              </w:rPr>
            </w:pPr>
            <w:r>
              <w:rPr>
                <w:sz w:val="22"/>
              </w:rPr>
              <w:t>Real estate mortgage</w:t>
            </w:r>
            <w:r w:rsidR="00ED0735">
              <w:rPr>
                <w:sz w:val="22"/>
              </w:rPr>
              <w:t xml:space="preserve"> and equity partnerships </w:t>
            </w:r>
          </w:p>
        </w:tc>
      </w:tr>
      <w:tr w:rsidR="00AB16BD">
        <w:tc>
          <w:tcPr>
            <w:tcW w:w="2340" w:type="dxa"/>
          </w:tcPr>
          <w:p w:rsidR="00AB16BD" w:rsidRDefault="00AB16BD">
            <w:pPr>
              <w:rPr>
                <w:b/>
                <w:sz w:val="22"/>
              </w:rPr>
            </w:pPr>
            <w:r>
              <w:rPr>
                <w:b/>
                <w:sz w:val="22"/>
              </w:rPr>
              <w:t xml:space="preserve">Investment: </w:t>
            </w:r>
          </w:p>
        </w:tc>
        <w:tc>
          <w:tcPr>
            <w:tcW w:w="6840" w:type="dxa"/>
          </w:tcPr>
          <w:p w:rsidR="00AB16BD" w:rsidRDefault="00AB16BD" w:rsidP="00AE218F">
            <w:pPr>
              <w:rPr>
                <w:sz w:val="22"/>
              </w:rPr>
            </w:pPr>
            <w:r>
              <w:rPr>
                <w:sz w:val="22"/>
              </w:rPr>
              <w:t xml:space="preserve">80% of the </w:t>
            </w:r>
            <w:r w:rsidR="00AE218F">
              <w:rPr>
                <w:sz w:val="22"/>
              </w:rPr>
              <w:t xml:space="preserve">repaired </w:t>
            </w:r>
            <w:r>
              <w:rPr>
                <w:sz w:val="22"/>
              </w:rPr>
              <w:t>value of the property</w:t>
            </w:r>
          </w:p>
        </w:tc>
      </w:tr>
      <w:tr w:rsidR="00AB16BD">
        <w:tc>
          <w:tcPr>
            <w:tcW w:w="2340" w:type="dxa"/>
          </w:tcPr>
          <w:p w:rsidR="00AB16BD" w:rsidRDefault="00AB16BD">
            <w:pPr>
              <w:rPr>
                <w:b/>
                <w:sz w:val="22"/>
              </w:rPr>
            </w:pPr>
            <w:r>
              <w:rPr>
                <w:b/>
                <w:sz w:val="22"/>
              </w:rPr>
              <w:t xml:space="preserve">Property: </w:t>
            </w:r>
          </w:p>
        </w:tc>
        <w:tc>
          <w:tcPr>
            <w:tcW w:w="6840" w:type="dxa"/>
          </w:tcPr>
          <w:p w:rsidR="00AB16BD" w:rsidRDefault="00AE218F" w:rsidP="00AE218F">
            <w:pPr>
              <w:rPr>
                <w:sz w:val="22"/>
              </w:rPr>
            </w:pPr>
            <w:r w:rsidRPr="00AE218F">
              <w:rPr>
                <w:sz w:val="22"/>
              </w:rPr>
              <w:t>All purchase in the Cleveland Suburbs</w:t>
            </w:r>
          </w:p>
        </w:tc>
      </w:tr>
      <w:tr w:rsidR="00AB16BD">
        <w:tc>
          <w:tcPr>
            <w:tcW w:w="2340" w:type="dxa"/>
          </w:tcPr>
          <w:p w:rsidR="00AB16BD" w:rsidRDefault="00AB16BD">
            <w:pPr>
              <w:rPr>
                <w:b/>
                <w:sz w:val="22"/>
              </w:rPr>
            </w:pPr>
            <w:r>
              <w:rPr>
                <w:b/>
                <w:sz w:val="22"/>
              </w:rPr>
              <w:t>Security:</w:t>
            </w:r>
          </w:p>
        </w:tc>
        <w:tc>
          <w:tcPr>
            <w:tcW w:w="6840" w:type="dxa"/>
          </w:tcPr>
          <w:p w:rsidR="00AB16BD" w:rsidRDefault="00AE218F">
            <w:pPr>
              <w:rPr>
                <w:sz w:val="22"/>
              </w:rPr>
            </w:pPr>
            <w:r w:rsidRPr="00AE218F">
              <w:rPr>
                <w:sz w:val="22"/>
              </w:rPr>
              <w:t>1st lien registered at the Cuyahoga and Medina County Courthouses</w:t>
            </w:r>
          </w:p>
        </w:tc>
      </w:tr>
      <w:tr w:rsidR="00AB16BD">
        <w:tc>
          <w:tcPr>
            <w:tcW w:w="2340" w:type="dxa"/>
          </w:tcPr>
          <w:p w:rsidR="00AB16BD" w:rsidRDefault="00AB16BD">
            <w:pPr>
              <w:rPr>
                <w:b/>
                <w:sz w:val="22"/>
              </w:rPr>
            </w:pPr>
            <w:r>
              <w:rPr>
                <w:b/>
                <w:sz w:val="22"/>
              </w:rPr>
              <w:t>Interest rate:</w:t>
            </w:r>
          </w:p>
        </w:tc>
        <w:tc>
          <w:tcPr>
            <w:tcW w:w="6840" w:type="dxa"/>
          </w:tcPr>
          <w:p w:rsidR="00AB16BD" w:rsidRDefault="00ED0735">
            <w:pPr>
              <w:rPr>
                <w:sz w:val="22"/>
              </w:rPr>
            </w:pPr>
            <w:r>
              <w:rPr>
                <w:sz w:val="22"/>
              </w:rPr>
              <w:t>8-12</w:t>
            </w:r>
            <w:r w:rsidR="00AB16BD">
              <w:rPr>
                <w:sz w:val="22"/>
              </w:rPr>
              <w:t>% fixed return</w:t>
            </w:r>
          </w:p>
        </w:tc>
      </w:tr>
      <w:tr w:rsidR="00AB16BD">
        <w:tc>
          <w:tcPr>
            <w:tcW w:w="2340" w:type="dxa"/>
          </w:tcPr>
          <w:p w:rsidR="00AB16BD" w:rsidRDefault="00AB16BD">
            <w:pPr>
              <w:rPr>
                <w:b/>
                <w:sz w:val="22"/>
              </w:rPr>
            </w:pPr>
            <w:r>
              <w:rPr>
                <w:b/>
                <w:sz w:val="22"/>
              </w:rPr>
              <w:t>Term:</w:t>
            </w:r>
          </w:p>
        </w:tc>
        <w:tc>
          <w:tcPr>
            <w:tcW w:w="6840" w:type="dxa"/>
          </w:tcPr>
          <w:p w:rsidR="00AB16BD" w:rsidRDefault="00ED0735">
            <w:pPr>
              <w:rPr>
                <w:sz w:val="22"/>
              </w:rPr>
            </w:pPr>
            <w:r>
              <w:rPr>
                <w:sz w:val="22"/>
              </w:rPr>
              <w:t xml:space="preserve">Up to </w:t>
            </w:r>
            <w:r w:rsidR="00AB16BD">
              <w:rPr>
                <w:sz w:val="22"/>
              </w:rPr>
              <w:t>5 years</w:t>
            </w:r>
          </w:p>
        </w:tc>
      </w:tr>
      <w:tr w:rsidR="00AB16BD">
        <w:tc>
          <w:tcPr>
            <w:tcW w:w="2340" w:type="dxa"/>
          </w:tcPr>
          <w:p w:rsidR="00AB16BD" w:rsidRDefault="00AB16BD">
            <w:pPr>
              <w:rPr>
                <w:b/>
                <w:sz w:val="22"/>
              </w:rPr>
            </w:pPr>
            <w:r>
              <w:rPr>
                <w:b/>
                <w:sz w:val="22"/>
              </w:rPr>
              <w:t>Income stream:</w:t>
            </w:r>
          </w:p>
        </w:tc>
        <w:tc>
          <w:tcPr>
            <w:tcW w:w="6840" w:type="dxa"/>
          </w:tcPr>
          <w:p w:rsidR="00AB16BD" w:rsidRDefault="00AB16BD">
            <w:pPr>
              <w:rPr>
                <w:sz w:val="22"/>
              </w:rPr>
            </w:pPr>
            <w:r>
              <w:rPr>
                <w:sz w:val="22"/>
              </w:rPr>
              <w:t xml:space="preserve">Monthly or Quarterly </w:t>
            </w:r>
            <w:r w:rsidR="00ED0735">
              <w:rPr>
                <w:sz w:val="22"/>
              </w:rPr>
              <w:t xml:space="preserve">or Annual </w:t>
            </w:r>
            <w:r>
              <w:rPr>
                <w:sz w:val="22"/>
              </w:rPr>
              <w:t xml:space="preserve">interest payment </w:t>
            </w:r>
          </w:p>
        </w:tc>
      </w:tr>
      <w:tr w:rsidR="00AE218F" w:rsidTr="00AE218F">
        <w:trPr>
          <w:trHeight w:val="70"/>
        </w:trPr>
        <w:tc>
          <w:tcPr>
            <w:tcW w:w="2340" w:type="dxa"/>
          </w:tcPr>
          <w:p w:rsidR="00AE218F" w:rsidRDefault="00AE218F">
            <w:pPr>
              <w:rPr>
                <w:b/>
                <w:sz w:val="22"/>
              </w:rPr>
            </w:pPr>
          </w:p>
        </w:tc>
        <w:tc>
          <w:tcPr>
            <w:tcW w:w="6840" w:type="dxa"/>
          </w:tcPr>
          <w:p w:rsidR="00AE218F" w:rsidRDefault="00AE218F">
            <w:pPr>
              <w:rPr>
                <w:sz w:val="22"/>
              </w:rPr>
            </w:pPr>
          </w:p>
        </w:tc>
      </w:tr>
    </w:tbl>
    <w:p w:rsidR="00AB16BD" w:rsidRDefault="00AB16BD">
      <w:pPr>
        <w:pStyle w:val="Heading1"/>
        <w:jc w:val="left"/>
        <w:rPr>
          <w:b/>
          <w:smallCaps/>
          <w:sz w:val="22"/>
        </w:rPr>
      </w:pPr>
    </w:p>
    <w:p w:rsidR="00AB16BD" w:rsidRDefault="00AB16BD">
      <w:pPr>
        <w:pStyle w:val="Heading1"/>
        <w:ind w:right="504"/>
        <w:jc w:val="left"/>
        <w:rPr>
          <w:b/>
          <w:smallCaps/>
          <w:sz w:val="22"/>
        </w:rPr>
      </w:pPr>
      <w:r>
        <w:rPr>
          <w:b/>
          <w:smallCaps/>
          <w:sz w:val="22"/>
        </w:rPr>
        <w:t>Investment Scenario</w:t>
      </w:r>
    </w:p>
    <w:p w:rsidR="00AB16BD" w:rsidRDefault="00AB16BD">
      <w:pPr>
        <w:ind w:left="720" w:right="504"/>
        <w:rPr>
          <w:sz w:val="22"/>
        </w:rPr>
      </w:pPr>
    </w:p>
    <w:p w:rsidR="00AB16BD" w:rsidRDefault="006A21AE">
      <w:pPr>
        <w:numPr>
          <w:ilvl w:val="0"/>
          <w:numId w:val="3"/>
        </w:numPr>
        <w:ind w:right="504"/>
        <w:rPr>
          <w:sz w:val="22"/>
        </w:rPr>
      </w:pPr>
      <w:r>
        <w:rPr>
          <w:sz w:val="22"/>
        </w:rPr>
        <w:t xml:space="preserve">Millennium Capital Investments, LLC </w:t>
      </w:r>
      <w:r w:rsidR="00AB16BD">
        <w:rPr>
          <w:sz w:val="22"/>
        </w:rPr>
        <w:t xml:space="preserve">designates a property with a </w:t>
      </w:r>
      <w:r w:rsidR="00AB16BD">
        <w:rPr>
          <w:i/>
          <w:sz w:val="22"/>
        </w:rPr>
        <w:t>certified,</w:t>
      </w:r>
      <w:r w:rsidR="00AB16BD">
        <w:rPr>
          <w:sz w:val="22"/>
        </w:rPr>
        <w:t xml:space="preserve"> appraised value of $125,000.  </w:t>
      </w:r>
    </w:p>
    <w:p w:rsidR="00AB16BD" w:rsidRDefault="00AB16BD">
      <w:pPr>
        <w:numPr>
          <w:ilvl w:val="0"/>
          <w:numId w:val="3"/>
        </w:numPr>
        <w:ind w:right="504"/>
        <w:rPr>
          <w:sz w:val="22"/>
        </w:rPr>
      </w:pPr>
      <w:r>
        <w:rPr>
          <w:b/>
          <w:sz w:val="22"/>
        </w:rPr>
        <w:t>Investor</w:t>
      </w:r>
      <w:r>
        <w:rPr>
          <w:sz w:val="22"/>
        </w:rPr>
        <w:t xml:space="preserve"> makes a $100,000 investment for a five year term which is 80% of the $125,000 appraised value.  </w:t>
      </w:r>
    </w:p>
    <w:p w:rsidR="00AB16BD" w:rsidRDefault="00AB16BD">
      <w:pPr>
        <w:numPr>
          <w:ilvl w:val="0"/>
          <w:numId w:val="3"/>
        </w:numPr>
        <w:ind w:right="504"/>
        <w:rPr>
          <w:sz w:val="22"/>
        </w:rPr>
      </w:pPr>
      <w:r>
        <w:rPr>
          <w:b/>
          <w:sz w:val="22"/>
        </w:rPr>
        <w:t>Investor</w:t>
      </w:r>
      <w:r>
        <w:rPr>
          <w:sz w:val="22"/>
        </w:rPr>
        <w:t xml:space="preserve"> is paid 10% interest per year on the investment—in this case $10,000 or $833.35 per month.  </w:t>
      </w:r>
    </w:p>
    <w:p w:rsidR="00AB16BD" w:rsidRDefault="00AB16BD">
      <w:pPr>
        <w:numPr>
          <w:ilvl w:val="0"/>
          <w:numId w:val="3"/>
        </w:numPr>
        <w:ind w:right="504"/>
        <w:rPr>
          <w:sz w:val="22"/>
        </w:rPr>
      </w:pPr>
      <w:r>
        <w:rPr>
          <w:b/>
          <w:sz w:val="22"/>
        </w:rPr>
        <w:t>Investor</w:t>
      </w:r>
      <w:r>
        <w:rPr>
          <w:sz w:val="22"/>
        </w:rPr>
        <w:t xml:space="preserve"> is returned his original investment of $100,000 at the end of the five-year term, after being paid a total of $50,000 ($833.35 x 60 months) in interest.  </w:t>
      </w:r>
    </w:p>
    <w:p w:rsidR="00AB16BD" w:rsidRDefault="00AB16BD">
      <w:pPr>
        <w:numPr>
          <w:ilvl w:val="0"/>
          <w:numId w:val="3"/>
        </w:numPr>
        <w:ind w:right="504"/>
        <w:rPr>
          <w:sz w:val="22"/>
        </w:rPr>
      </w:pPr>
      <w:r>
        <w:rPr>
          <w:b/>
          <w:sz w:val="22"/>
        </w:rPr>
        <w:t>Investor’s</w:t>
      </w:r>
      <w:r>
        <w:rPr>
          <w:sz w:val="22"/>
        </w:rPr>
        <w:t xml:space="preserve"> appreciation bonus assumes an approximate appreciation of 4% annually. The property is re-appraised at the end of the 5 years and shows an increase in value from $125,000 in 20</w:t>
      </w:r>
      <w:r w:rsidR="00AE218F">
        <w:rPr>
          <w:sz w:val="22"/>
        </w:rPr>
        <w:t>11</w:t>
      </w:r>
      <w:r>
        <w:rPr>
          <w:sz w:val="22"/>
        </w:rPr>
        <w:t xml:space="preserve"> to $150,000 in 20</w:t>
      </w:r>
      <w:r w:rsidR="00AE218F">
        <w:rPr>
          <w:sz w:val="22"/>
        </w:rPr>
        <w:t>16</w:t>
      </w:r>
      <w:r>
        <w:rPr>
          <w:sz w:val="22"/>
        </w:rPr>
        <w:t xml:space="preserve">. Appreciation bonus is 20% of the property’s appreciated value (20% of $25,000) for an additional $5,000 of income.  </w:t>
      </w:r>
    </w:p>
    <w:p w:rsidR="00AB16BD" w:rsidRDefault="00AB16BD">
      <w:pPr>
        <w:numPr>
          <w:ilvl w:val="0"/>
          <w:numId w:val="3"/>
        </w:numPr>
        <w:ind w:right="504"/>
        <w:rPr>
          <w:sz w:val="22"/>
        </w:rPr>
      </w:pPr>
      <w:r>
        <w:rPr>
          <w:b/>
          <w:sz w:val="22"/>
        </w:rPr>
        <w:t>Investor</w:t>
      </w:r>
      <w:r>
        <w:rPr>
          <w:sz w:val="22"/>
        </w:rPr>
        <w:t xml:space="preserve"> in a 5-year term turned their original $100,000 investment into $155,000, which does not include re-investing the monthly interest income.</w:t>
      </w:r>
    </w:p>
    <w:p w:rsidR="00AB16BD" w:rsidRDefault="00AB16BD">
      <w:pPr>
        <w:rPr>
          <w:sz w:val="22"/>
        </w:rPr>
      </w:pPr>
    </w:p>
    <w:p w:rsidR="00AB16BD" w:rsidRDefault="00AB16BD">
      <w:pPr>
        <w:rPr>
          <w:b/>
          <w:smallCaps/>
          <w:sz w:val="22"/>
        </w:rPr>
        <w:sectPr w:rsidR="00AB16BD">
          <w:headerReference w:type="even" r:id="rId7"/>
          <w:headerReference w:type="default" r:id="rId8"/>
          <w:headerReference w:type="first" r:id="rId9"/>
          <w:type w:val="continuous"/>
          <w:pgSz w:w="12240" w:h="15840" w:code="1"/>
          <w:pgMar w:top="720" w:right="1008" w:bottom="720" w:left="1008" w:header="720" w:footer="720" w:gutter="0"/>
          <w:cols w:space="720"/>
          <w:docGrid w:linePitch="360"/>
        </w:sectPr>
      </w:pPr>
    </w:p>
    <w:p w:rsidR="00AB16BD" w:rsidRDefault="00AB16BD">
      <w:pPr>
        <w:rPr>
          <w:b/>
          <w:smallCaps/>
          <w:sz w:val="22"/>
        </w:rPr>
      </w:pPr>
      <w:r>
        <w:rPr>
          <w:b/>
          <w:smallCaps/>
          <w:color w:val="008000"/>
          <w:sz w:val="22"/>
        </w:rPr>
        <w:lastRenderedPageBreak/>
        <w:t>Participation:</w:t>
      </w:r>
      <w:r>
        <w:rPr>
          <w:b/>
          <w:smallCaps/>
          <w:sz w:val="22"/>
        </w:rPr>
        <w:t xml:space="preserve">  </w:t>
      </w:r>
      <w:r w:rsidR="00AE218F">
        <w:rPr>
          <w:sz w:val="22"/>
        </w:rPr>
        <w:t>Earn passive income</w:t>
      </w:r>
      <w:r>
        <w:rPr>
          <w:sz w:val="22"/>
        </w:rPr>
        <w:t xml:space="preserve">.  All issues regarding maintenance, management, tenants, etc. are handled by </w:t>
      </w:r>
      <w:r w:rsidR="006A21AE">
        <w:rPr>
          <w:sz w:val="22"/>
        </w:rPr>
        <w:t xml:space="preserve">Millennium Capital Investments, LLC </w:t>
      </w:r>
      <w:r>
        <w:rPr>
          <w:sz w:val="22"/>
        </w:rPr>
        <w:t>.</w:t>
      </w:r>
    </w:p>
    <w:p w:rsidR="00AB16BD" w:rsidRDefault="00AB16BD">
      <w:pPr>
        <w:rPr>
          <w:b/>
          <w:smallCaps/>
          <w:sz w:val="22"/>
        </w:rPr>
      </w:pPr>
    </w:p>
    <w:p w:rsidR="00AB16BD" w:rsidRDefault="00AB16BD">
      <w:pPr>
        <w:rPr>
          <w:sz w:val="22"/>
        </w:rPr>
      </w:pPr>
      <w:r>
        <w:rPr>
          <w:b/>
          <w:smallCaps/>
          <w:color w:val="008000"/>
          <w:sz w:val="22"/>
        </w:rPr>
        <w:t>No Fees</w:t>
      </w:r>
      <w:r>
        <w:rPr>
          <w:color w:val="008000"/>
          <w:sz w:val="22"/>
        </w:rPr>
        <w:t>:</w:t>
      </w:r>
      <w:r>
        <w:rPr>
          <w:sz w:val="22"/>
        </w:rPr>
        <w:t xml:space="preserve"> </w:t>
      </w:r>
      <w:r>
        <w:rPr>
          <w:i/>
          <w:sz w:val="22"/>
        </w:rPr>
        <w:t xml:space="preserve"> </w:t>
      </w:r>
      <w:r w:rsidR="006A21AE">
        <w:rPr>
          <w:i/>
          <w:sz w:val="22"/>
        </w:rPr>
        <w:t xml:space="preserve">Millennium Capital Investments, LLC </w:t>
      </w:r>
      <w:r>
        <w:rPr>
          <w:sz w:val="22"/>
        </w:rPr>
        <w:t xml:space="preserve"> incurs all expenses in closing on the investment, as well as any expenses incurred in the management of the investment property.</w:t>
      </w:r>
    </w:p>
    <w:p w:rsidR="00AB16BD" w:rsidRDefault="00AB16BD">
      <w:pPr>
        <w:rPr>
          <w:sz w:val="22"/>
        </w:rPr>
      </w:pPr>
    </w:p>
    <w:p w:rsidR="00AB16BD" w:rsidRDefault="00AB16BD">
      <w:pPr>
        <w:rPr>
          <w:sz w:val="22"/>
        </w:rPr>
      </w:pPr>
      <w:r>
        <w:rPr>
          <w:b/>
          <w:smallCaps/>
          <w:color w:val="008000"/>
          <w:sz w:val="22"/>
        </w:rPr>
        <w:t>Early Payment</w:t>
      </w:r>
      <w:r>
        <w:rPr>
          <w:color w:val="008000"/>
          <w:sz w:val="22"/>
        </w:rPr>
        <w:t>:</w:t>
      </w:r>
      <w:r>
        <w:rPr>
          <w:sz w:val="22"/>
        </w:rPr>
        <w:t xml:space="preserve"> If </w:t>
      </w:r>
      <w:r w:rsidR="006A21AE">
        <w:rPr>
          <w:sz w:val="22"/>
        </w:rPr>
        <w:t xml:space="preserve">Millennium Capital Investments, LLC </w:t>
      </w:r>
      <w:r>
        <w:rPr>
          <w:sz w:val="22"/>
        </w:rPr>
        <w:t xml:space="preserve"> pays off the note before the end of the first year, the investor will continue to receive interest payments up to an additional 90 days or until </w:t>
      </w:r>
      <w:r w:rsidR="006A21AE">
        <w:rPr>
          <w:i/>
          <w:sz w:val="22"/>
        </w:rPr>
        <w:lastRenderedPageBreak/>
        <w:t xml:space="preserve">Millennium Capital Investments, LLC </w:t>
      </w:r>
      <w:r>
        <w:rPr>
          <w:sz w:val="22"/>
        </w:rPr>
        <w:t xml:space="preserve"> acquires another property for the investor. All transfers are subject to the Investor’s final approval.</w:t>
      </w:r>
    </w:p>
    <w:p w:rsidR="00AB16BD" w:rsidRDefault="00AB16BD">
      <w:pPr>
        <w:rPr>
          <w:sz w:val="22"/>
        </w:rPr>
      </w:pPr>
    </w:p>
    <w:p w:rsidR="00AB16BD" w:rsidRDefault="00AB16BD">
      <w:pPr>
        <w:rPr>
          <w:sz w:val="22"/>
        </w:rPr>
      </w:pPr>
      <w:r>
        <w:rPr>
          <w:b/>
          <w:smallCaps/>
          <w:color w:val="008000"/>
          <w:sz w:val="22"/>
        </w:rPr>
        <w:t>Right of 1</w:t>
      </w:r>
      <w:r>
        <w:rPr>
          <w:b/>
          <w:smallCaps/>
          <w:color w:val="008000"/>
          <w:sz w:val="22"/>
          <w:vertAlign w:val="superscript"/>
        </w:rPr>
        <w:t>st</w:t>
      </w:r>
      <w:r>
        <w:rPr>
          <w:b/>
          <w:smallCaps/>
          <w:color w:val="008000"/>
          <w:sz w:val="22"/>
        </w:rPr>
        <w:t xml:space="preserve"> Lien Holder</w:t>
      </w:r>
      <w:r>
        <w:rPr>
          <w:color w:val="008000"/>
          <w:sz w:val="22"/>
        </w:rPr>
        <w:t>:</w:t>
      </w:r>
      <w:r>
        <w:rPr>
          <w:sz w:val="22"/>
        </w:rPr>
        <w:t xml:space="preserve"> The Investor, as “mortgagor,” has the right of first lien holder and Power of Sale on the property.  </w:t>
      </w:r>
    </w:p>
    <w:p w:rsidR="00AB16BD" w:rsidRDefault="00AB16BD">
      <w:pPr>
        <w:rPr>
          <w:sz w:val="22"/>
        </w:rPr>
      </w:pPr>
    </w:p>
    <w:p w:rsidR="00AB16BD" w:rsidRDefault="00AB16BD">
      <w:pPr>
        <w:rPr>
          <w:sz w:val="22"/>
        </w:rPr>
      </w:pPr>
      <w:r>
        <w:rPr>
          <w:b/>
          <w:smallCaps/>
          <w:color w:val="008000"/>
          <w:sz w:val="22"/>
        </w:rPr>
        <w:t>Safety</w:t>
      </w:r>
      <w:r>
        <w:rPr>
          <w:sz w:val="22"/>
        </w:rPr>
        <w:t xml:space="preserve">:  A description of investment details, including legal compliance, insurance and underwriting guidelines can be found in the </w:t>
      </w:r>
      <w:r w:rsidR="006A21AE">
        <w:rPr>
          <w:sz w:val="22"/>
        </w:rPr>
        <w:t xml:space="preserve">Millennium Capital Investments, LLC </w:t>
      </w:r>
      <w:r>
        <w:rPr>
          <w:sz w:val="22"/>
        </w:rPr>
        <w:t>brochure, Sections 7 and 8.</w:t>
      </w:r>
    </w:p>
    <w:p w:rsidR="00AB16BD" w:rsidRDefault="00AB16BD">
      <w:pPr>
        <w:rPr>
          <w:sz w:val="22"/>
        </w:rPr>
        <w:sectPr w:rsidR="00AB16BD">
          <w:type w:val="continuous"/>
          <w:pgSz w:w="12240" w:h="15840" w:code="1"/>
          <w:pgMar w:top="720" w:right="1008" w:bottom="720" w:left="1008" w:header="720" w:footer="720" w:gutter="0"/>
          <w:cols w:num="2" w:sep="1" w:space="720"/>
          <w:docGrid w:linePitch="360"/>
        </w:sectPr>
      </w:pPr>
    </w:p>
    <w:p w:rsidR="00AB16BD" w:rsidRDefault="00AB16BD">
      <w:pPr>
        <w:rPr>
          <w:sz w:val="16"/>
        </w:rPr>
      </w:pPr>
    </w:p>
    <w:p w:rsidR="00AB16BD" w:rsidRPr="006A21AE" w:rsidRDefault="00AB16BD" w:rsidP="006A21AE">
      <w:pPr>
        <w:pBdr>
          <w:top w:val="single" w:sz="4" w:space="1" w:color="auto"/>
          <w:left w:val="single" w:sz="4" w:space="4" w:color="auto"/>
          <w:bottom w:val="single" w:sz="4" w:space="1" w:color="auto"/>
          <w:right w:val="single" w:sz="4" w:space="4" w:color="auto"/>
        </w:pBdr>
        <w:jc w:val="both"/>
        <w:rPr>
          <w:rFonts w:ascii="Arial" w:hAnsi="Arial"/>
          <w:sz w:val="14"/>
        </w:rPr>
      </w:pPr>
      <w:r>
        <w:rPr>
          <w:rFonts w:ascii="Arial" w:hAnsi="Arial"/>
          <w:b/>
          <w:smallCaps/>
          <w:sz w:val="14"/>
        </w:rPr>
        <w:t xml:space="preserve">Suitability and Disclosure:  </w:t>
      </w:r>
      <w:r>
        <w:rPr>
          <w:rFonts w:ascii="Arial" w:hAnsi="Arial"/>
          <w:sz w:val="14"/>
        </w:rPr>
        <w:t>Investors must be 21 years of age or older and have sufficient knowledge and experience in financial and business matters.  The subject investments are not intended to be securities and, therefore, are not afforded protection under the Securities Act of 1933, the Securities Exchange Act of 1934 or applicable state laws and have not been registered under the Acts or certain state securities laws.  If default occurs on payment per the terms of the promissory note and deed of trust, the investor’s legal rights of action are contained within those agreements and should be thoroughly examined with the investor’s own counsel.</w:t>
      </w:r>
    </w:p>
    <w:p w:rsidR="00AB16BD" w:rsidRDefault="00AB16BD">
      <w:pPr>
        <w:tabs>
          <w:tab w:val="left" w:pos="1080"/>
          <w:tab w:val="left" w:pos="1800"/>
          <w:tab w:val="left" w:pos="6840"/>
        </w:tabs>
        <w:rPr>
          <w:color w:val="008000"/>
          <w:sz w:val="22"/>
        </w:rPr>
      </w:pPr>
      <w:r>
        <w:rPr>
          <w:color w:val="008000"/>
          <w:sz w:val="22"/>
        </w:rPr>
        <w:tab/>
      </w:r>
      <w:r>
        <w:rPr>
          <w:color w:val="008000"/>
          <w:sz w:val="22"/>
        </w:rPr>
        <w:tab/>
      </w:r>
      <w:r>
        <w:rPr>
          <w:color w:val="008000"/>
          <w:sz w:val="22"/>
        </w:rPr>
        <w:tab/>
      </w:r>
    </w:p>
    <w:sectPr w:rsidR="00AB16BD" w:rsidSect="00C22B6F">
      <w:type w:val="continuous"/>
      <w:pgSz w:w="12240" w:h="15840" w:code="1"/>
      <w:pgMar w:top="720" w:right="1008" w:bottom="720" w:left="1008" w:header="720" w:footer="720" w:gutter="0"/>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8608EE" w:rsidRDefault="008608EE" w:rsidP="006A21AE">
      <w:r>
        <w:separator/>
      </w:r>
    </w:p>
  </w:endnote>
  <w:endnote w:type="continuationSeparator" w:id="0">
    <w:p w:rsidR="008608EE" w:rsidRDefault="008608EE" w:rsidP="006A21AE">
      <w:r>
        <w:continuationSeparator/>
      </w:r>
    </w:p>
  </w:endnote>
</w:endnotes>
</file>

<file path=word/fontTable.xml><?xml version="1.0" encoding="utf-8"?>
<w:fonts xmlns:r="http://schemas.openxmlformats.org/officeDocument/2006/relationships" xmlns:w="http://schemas.openxmlformats.org/wordprocessingml/2006/main">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Black">
    <w:panose1 w:val="020B0A04020102020204"/>
    <w:charset w:val="00"/>
    <w:family w:val="swiss"/>
    <w:pitch w:val="variable"/>
    <w:sig w:usb0="00000287" w:usb1="00000000" w:usb2="00000000" w:usb3="00000000" w:csb0="000000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Georgia">
    <w:panose1 w:val="02040502050405020303"/>
    <w:charset w:val="00"/>
    <w:family w:val="roman"/>
    <w:pitch w:val="variable"/>
    <w:sig w:usb0="00000287" w:usb1="00000000" w:usb2="00000000" w:usb3="00000000" w:csb0="0000009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10002FF" w:usb1="4000ACFF" w:usb2="00000009"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8608EE" w:rsidRDefault="008608EE" w:rsidP="006A21AE">
      <w:r>
        <w:separator/>
      </w:r>
    </w:p>
  </w:footnote>
  <w:footnote w:type="continuationSeparator" w:id="0">
    <w:p w:rsidR="008608EE" w:rsidRDefault="008608EE" w:rsidP="006A21AE">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A21AE" w:rsidRDefault="009877EB">
    <w:pPr>
      <w:pStyle w:val="Header"/>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63979479" o:spid="_x0000_s2050" type="#_x0000_t75" style="position:absolute;margin-left:0;margin-top:0;width:612pt;height:11in;z-index:-251657216;mso-position-horizontal:center;mso-position-horizontal-relative:margin;mso-position-vertical:center;mso-position-vertical-relative:margin" o:allowincell="f">
          <v:imagedata r:id="rId1" o:title="PgBg"/>
          <w10:wrap anchorx="margin" anchory="margin"/>
        </v:shape>
      </w:pict>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A21AE" w:rsidRDefault="009877EB">
    <w:pPr>
      <w:pStyle w:val="Header"/>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63979480" o:spid="_x0000_s2051" type="#_x0000_t75" style="position:absolute;margin-left:-50.4pt;margin-top:-49.8pt;width:612pt;height:11in;z-index:-251656192;mso-position-horizontal-relative:margin;mso-position-vertical-relative:margin" o:allowincell="f">
          <v:imagedata r:id="rId1" o:title="PgBg"/>
          <w10:wrap anchorx="margin" anchory="margin"/>
        </v:shape>
      </w:pict>
    </w: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A21AE" w:rsidRDefault="009877EB">
    <w:pPr>
      <w:pStyle w:val="Header"/>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63979478" o:spid="_x0000_s2049" type="#_x0000_t75" style="position:absolute;margin-left:0;margin-top:0;width:612pt;height:11in;z-index:-251658240;mso-position-horizontal:center;mso-position-horizontal-relative:margin;mso-position-vertical:center;mso-position-vertical-relative:margin" o:allowincell="f">
          <v:imagedata r:id="rId1" o:title="PgBg"/>
          <w10:wrap anchorx="margin" anchory="margin"/>
        </v:shape>
      </w:pic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550724C"/>
    <w:multiLevelType w:val="hybridMultilevel"/>
    <w:tmpl w:val="3A706B8E"/>
    <w:lvl w:ilvl="0" w:tplc="6D249EEC">
      <w:start w:val="1"/>
      <w:numFmt w:val="bullet"/>
      <w:lvlText w:val=""/>
      <w:lvlJc w:val="left"/>
      <w:pPr>
        <w:tabs>
          <w:tab w:val="num" w:pos="720"/>
        </w:tabs>
        <w:ind w:left="720" w:hanging="360"/>
      </w:pPr>
      <w:rPr>
        <w:rFonts w:ascii="Wingdings" w:hAnsi="Wingdings" w:hint="default"/>
      </w:rPr>
    </w:lvl>
    <w:lvl w:ilvl="1" w:tplc="34DAEC82">
      <w:start w:val="1"/>
      <w:numFmt w:val="bullet"/>
      <w:lvlText w:val="o"/>
      <w:lvlJc w:val="left"/>
      <w:pPr>
        <w:tabs>
          <w:tab w:val="num" w:pos="1440"/>
        </w:tabs>
        <w:ind w:left="1440" w:hanging="360"/>
      </w:pPr>
      <w:rPr>
        <w:rFonts w:ascii="Courier New" w:hAnsi="Courier New" w:cs="Courier New" w:hint="default"/>
      </w:rPr>
    </w:lvl>
    <w:lvl w:ilvl="2" w:tplc="EEC0CC70" w:tentative="1">
      <w:start w:val="1"/>
      <w:numFmt w:val="bullet"/>
      <w:lvlText w:val=""/>
      <w:lvlJc w:val="left"/>
      <w:pPr>
        <w:tabs>
          <w:tab w:val="num" w:pos="2160"/>
        </w:tabs>
        <w:ind w:left="2160" w:hanging="360"/>
      </w:pPr>
      <w:rPr>
        <w:rFonts w:ascii="Wingdings" w:hAnsi="Wingdings" w:hint="default"/>
      </w:rPr>
    </w:lvl>
    <w:lvl w:ilvl="3" w:tplc="966C29A0" w:tentative="1">
      <w:start w:val="1"/>
      <w:numFmt w:val="bullet"/>
      <w:lvlText w:val=""/>
      <w:lvlJc w:val="left"/>
      <w:pPr>
        <w:tabs>
          <w:tab w:val="num" w:pos="2880"/>
        </w:tabs>
        <w:ind w:left="2880" w:hanging="360"/>
      </w:pPr>
      <w:rPr>
        <w:rFonts w:ascii="Symbol" w:hAnsi="Symbol" w:hint="default"/>
      </w:rPr>
    </w:lvl>
    <w:lvl w:ilvl="4" w:tplc="4788A1E6" w:tentative="1">
      <w:start w:val="1"/>
      <w:numFmt w:val="bullet"/>
      <w:lvlText w:val="o"/>
      <w:lvlJc w:val="left"/>
      <w:pPr>
        <w:tabs>
          <w:tab w:val="num" w:pos="3600"/>
        </w:tabs>
        <w:ind w:left="3600" w:hanging="360"/>
      </w:pPr>
      <w:rPr>
        <w:rFonts w:ascii="Courier New" w:hAnsi="Courier New" w:cs="Courier New" w:hint="default"/>
      </w:rPr>
    </w:lvl>
    <w:lvl w:ilvl="5" w:tplc="646CDCCC" w:tentative="1">
      <w:start w:val="1"/>
      <w:numFmt w:val="bullet"/>
      <w:lvlText w:val=""/>
      <w:lvlJc w:val="left"/>
      <w:pPr>
        <w:tabs>
          <w:tab w:val="num" w:pos="4320"/>
        </w:tabs>
        <w:ind w:left="4320" w:hanging="360"/>
      </w:pPr>
      <w:rPr>
        <w:rFonts w:ascii="Wingdings" w:hAnsi="Wingdings" w:hint="default"/>
      </w:rPr>
    </w:lvl>
    <w:lvl w:ilvl="6" w:tplc="3EBC27FE" w:tentative="1">
      <w:start w:val="1"/>
      <w:numFmt w:val="bullet"/>
      <w:lvlText w:val=""/>
      <w:lvlJc w:val="left"/>
      <w:pPr>
        <w:tabs>
          <w:tab w:val="num" w:pos="5040"/>
        </w:tabs>
        <w:ind w:left="5040" w:hanging="360"/>
      </w:pPr>
      <w:rPr>
        <w:rFonts w:ascii="Symbol" w:hAnsi="Symbol" w:hint="default"/>
      </w:rPr>
    </w:lvl>
    <w:lvl w:ilvl="7" w:tplc="8920FE78" w:tentative="1">
      <w:start w:val="1"/>
      <w:numFmt w:val="bullet"/>
      <w:lvlText w:val="o"/>
      <w:lvlJc w:val="left"/>
      <w:pPr>
        <w:tabs>
          <w:tab w:val="num" w:pos="5760"/>
        </w:tabs>
        <w:ind w:left="5760" w:hanging="360"/>
      </w:pPr>
      <w:rPr>
        <w:rFonts w:ascii="Courier New" w:hAnsi="Courier New" w:cs="Courier New" w:hint="default"/>
      </w:rPr>
    </w:lvl>
    <w:lvl w:ilvl="8" w:tplc="D45EC746" w:tentative="1">
      <w:start w:val="1"/>
      <w:numFmt w:val="bullet"/>
      <w:lvlText w:val=""/>
      <w:lvlJc w:val="left"/>
      <w:pPr>
        <w:tabs>
          <w:tab w:val="num" w:pos="6480"/>
        </w:tabs>
        <w:ind w:left="6480" w:hanging="360"/>
      </w:pPr>
      <w:rPr>
        <w:rFonts w:ascii="Wingdings" w:hAnsi="Wingdings" w:hint="default"/>
      </w:rPr>
    </w:lvl>
  </w:abstractNum>
  <w:abstractNum w:abstractNumId="1">
    <w:nsid w:val="1C9E2257"/>
    <w:multiLevelType w:val="hybridMultilevel"/>
    <w:tmpl w:val="30208CB6"/>
    <w:lvl w:ilvl="0" w:tplc="45ECE45A">
      <w:start w:val="1"/>
      <w:numFmt w:val="bullet"/>
      <w:lvlText w:val=""/>
      <w:lvlJc w:val="left"/>
      <w:pPr>
        <w:tabs>
          <w:tab w:val="num" w:pos="720"/>
        </w:tabs>
        <w:ind w:left="720" w:hanging="360"/>
      </w:pPr>
      <w:rPr>
        <w:rFonts w:ascii="Symbol" w:hAnsi="Symbol" w:hint="default"/>
      </w:rPr>
    </w:lvl>
    <w:lvl w:ilvl="1" w:tplc="FE1E74B8" w:tentative="1">
      <w:start w:val="1"/>
      <w:numFmt w:val="bullet"/>
      <w:lvlText w:val="o"/>
      <w:lvlJc w:val="left"/>
      <w:pPr>
        <w:tabs>
          <w:tab w:val="num" w:pos="1440"/>
        </w:tabs>
        <w:ind w:left="1440" w:hanging="360"/>
      </w:pPr>
      <w:rPr>
        <w:rFonts w:ascii="Courier New" w:hAnsi="Courier New" w:cs="Courier New" w:hint="default"/>
      </w:rPr>
    </w:lvl>
    <w:lvl w:ilvl="2" w:tplc="56568FC0" w:tentative="1">
      <w:start w:val="1"/>
      <w:numFmt w:val="bullet"/>
      <w:lvlText w:val=""/>
      <w:lvlJc w:val="left"/>
      <w:pPr>
        <w:tabs>
          <w:tab w:val="num" w:pos="2160"/>
        </w:tabs>
        <w:ind w:left="2160" w:hanging="360"/>
      </w:pPr>
      <w:rPr>
        <w:rFonts w:ascii="Wingdings" w:hAnsi="Wingdings" w:hint="default"/>
      </w:rPr>
    </w:lvl>
    <w:lvl w:ilvl="3" w:tplc="2208E1B6" w:tentative="1">
      <w:start w:val="1"/>
      <w:numFmt w:val="bullet"/>
      <w:lvlText w:val=""/>
      <w:lvlJc w:val="left"/>
      <w:pPr>
        <w:tabs>
          <w:tab w:val="num" w:pos="2880"/>
        </w:tabs>
        <w:ind w:left="2880" w:hanging="360"/>
      </w:pPr>
      <w:rPr>
        <w:rFonts w:ascii="Symbol" w:hAnsi="Symbol" w:hint="default"/>
      </w:rPr>
    </w:lvl>
    <w:lvl w:ilvl="4" w:tplc="B9DA5DD6" w:tentative="1">
      <w:start w:val="1"/>
      <w:numFmt w:val="bullet"/>
      <w:lvlText w:val="o"/>
      <w:lvlJc w:val="left"/>
      <w:pPr>
        <w:tabs>
          <w:tab w:val="num" w:pos="3600"/>
        </w:tabs>
        <w:ind w:left="3600" w:hanging="360"/>
      </w:pPr>
      <w:rPr>
        <w:rFonts w:ascii="Courier New" w:hAnsi="Courier New" w:cs="Courier New" w:hint="default"/>
      </w:rPr>
    </w:lvl>
    <w:lvl w:ilvl="5" w:tplc="5CDCE3F2" w:tentative="1">
      <w:start w:val="1"/>
      <w:numFmt w:val="bullet"/>
      <w:lvlText w:val=""/>
      <w:lvlJc w:val="left"/>
      <w:pPr>
        <w:tabs>
          <w:tab w:val="num" w:pos="4320"/>
        </w:tabs>
        <w:ind w:left="4320" w:hanging="360"/>
      </w:pPr>
      <w:rPr>
        <w:rFonts w:ascii="Wingdings" w:hAnsi="Wingdings" w:hint="default"/>
      </w:rPr>
    </w:lvl>
    <w:lvl w:ilvl="6" w:tplc="6EDC7D56" w:tentative="1">
      <w:start w:val="1"/>
      <w:numFmt w:val="bullet"/>
      <w:lvlText w:val=""/>
      <w:lvlJc w:val="left"/>
      <w:pPr>
        <w:tabs>
          <w:tab w:val="num" w:pos="5040"/>
        </w:tabs>
        <w:ind w:left="5040" w:hanging="360"/>
      </w:pPr>
      <w:rPr>
        <w:rFonts w:ascii="Symbol" w:hAnsi="Symbol" w:hint="default"/>
      </w:rPr>
    </w:lvl>
    <w:lvl w:ilvl="7" w:tplc="B3E86E46" w:tentative="1">
      <w:start w:val="1"/>
      <w:numFmt w:val="bullet"/>
      <w:lvlText w:val="o"/>
      <w:lvlJc w:val="left"/>
      <w:pPr>
        <w:tabs>
          <w:tab w:val="num" w:pos="5760"/>
        </w:tabs>
        <w:ind w:left="5760" w:hanging="360"/>
      </w:pPr>
      <w:rPr>
        <w:rFonts w:ascii="Courier New" w:hAnsi="Courier New" w:cs="Courier New" w:hint="default"/>
      </w:rPr>
    </w:lvl>
    <w:lvl w:ilvl="8" w:tplc="D5907442" w:tentative="1">
      <w:start w:val="1"/>
      <w:numFmt w:val="bullet"/>
      <w:lvlText w:val=""/>
      <w:lvlJc w:val="left"/>
      <w:pPr>
        <w:tabs>
          <w:tab w:val="num" w:pos="6480"/>
        </w:tabs>
        <w:ind w:left="6480" w:hanging="360"/>
      </w:pPr>
      <w:rPr>
        <w:rFonts w:ascii="Wingdings" w:hAnsi="Wingdings" w:hint="default"/>
      </w:rPr>
    </w:lvl>
  </w:abstractNum>
  <w:abstractNum w:abstractNumId="2">
    <w:nsid w:val="541565FA"/>
    <w:multiLevelType w:val="multilevel"/>
    <w:tmpl w:val="30208CB6"/>
    <w:lvl w:ilvl="0">
      <w:start w:val="1"/>
      <w:numFmt w:val="bullet"/>
      <w:lvlText w:val=""/>
      <w:lvlJc w:val="left"/>
      <w:pPr>
        <w:tabs>
          <w:tab w:val="num" w:pos="720"/>
        </w:tabs>
        <w:ind w:left="720" w:hanging="360"/>
      </w:pPr>
      <w:rPr>
        <w:rFonts w:ascii="Symbol" w:hAnsi="Symbol"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num w:numId="1">
    <w:abstractNumId w:val="1"/>
  </w:num>
  <w:num w:numId="2">
    <w:abstractNumId w:val="2"/>
  </w:num>
  <w:num w:numId="3">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proofState w:spelling="clean" w:grammar="clean"/>
  <w:stylePaneFormatFilter w:val="3F01"/>
  <w:defaultTabStop w:val="720"/>
  <w:noPunctuationKerning/>
  <w:characterSpacingControl w:val="doNotCompress"/>
  <w:hdrShapeDefaults>
    <o:shapedefaults v:ext="edit" spidmax="7170"/>
    <o:shapelayout v:ext="edit">
      <o:idmap v:ext="edit" data="2"/>
    </o:shapelayout>
  </w:hdrShapeDefaults>
  <w:footnotePr>
    <w:footnote w:id="-1"/>
    <w:footnote w:id="0"/>
  </w:footnotePr>
  <w:endnotePr>
    <w:endnote w:id="-1"/>
    <w:endnote w:id="0"/>
  </w:endnotePr>
  <w:compat/>
  <w:rsids>
    <w:rsidRoot w:val="005E640D"/>
    <w:rsid w:val="004D43D7"/>
    <w:rsid w:val="005E640D"/>
    <w:rsid w:val="006A21AE"/>
    <w:rsid w:val="008608EE"/>
    <w:rsid w:val="009877EB"/>
    <w:rsid w:val="00AB16BD"/>
    <w:rsid w:val="00AE218F"/>
    <w:rsid w:val="00BD0506"/>
    <w:rsid w:val="00BF37DA"/>
    <w:rsid w:val="00C22B6F"/>
    <w:rsid w:val="00C975F1"/>
    <w:rsid w:val="00EA5539"/>
    <w:rsid w:val="00ED0735"/>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717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C22B6F"/>
    <w:rPr>
      <w:sz w:val="24"/>
      <w:szCs w:val="24"/>
    </w:rPr>
  </w:style>
  <w:style w:type="paragraph" w:styleId="Heading1">
    <w:name w:val="heading 1"/>
    <w:basedOn w:val="Normal"/>
    <w:next w:val="Normal"/>
    <w:qFormat/>
    <w:rsid w:val="00C22B6F"/>
    <w:pPr>
      <w:keepNext/>
      <w:jc w:val="center"/>
      <w:outlineLvl w:val="0"/>
    </w:pPr>
    <w:rPr>
      <w:sz w:val="28"/>
    </w:rPr>
  </w:style>
  <w:style w:type="paragraph" w:styleId="Heading2">
    <w:name w:val="heading 2"/>
    <w:basedOn w:val="Normal"/>
    <w:next w:val="Normal"/>
    <w:qFormat/>
    <w:rsid w:val="00C22B6F"/>
    <w:pPr>
      <w:keepNext/>
      <w:jc w:val="center"/>
      <w:outlineLvl w:val="1"/>
    </w:pPr>
    <w:rPr>
      <w:color w:val="008000"/>
      <w:sz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qFormat/>
    <w:rsid w:val="00C22B6F"/>
    <w:pPr>
      <w:pBdr>
        <w:top w:val="single" w:sz="4" w:space="3" w:color="339966"/>
        <w:between w:val="single" w:sz="4" w:space="1" w:color="339966"/>
      </w:pBdr>
      <w:jc w:val="center"/>
    </w:pPr>
    <w:rPr>
      <w:rFonts w:ascii="Arial Black" w:hAnsi="Arial Black"/>
      <w:b/>
      <w:bCs/>
      <w:color w:val="008000"/>
      <w:bdr w:val="single" w:sz="4" w:space="0" w:color="339966"/>
    </w:rPr>
  </w:style>
  <w:style w:type="paragraph" w:styleId="EnvelopeAddress">
    <w:name w:val="envelope address"/>
    <w:basedOn w:val="Normal"/>
    <w:rsid w:val="00C22B6F"/>
    <w:pPr>
      <w:framePr w:w="7920" w:h="1980" w:hRule="exact" w:hSpace="180" w:wrap="auto" w:hAnchor="page" w:xAlign="center" w:yAlign="bottom"/>
      <w:ind w:left="2880"/>
    </w:pPr>
    <w:rPr>
      <w:rFonts w:ascii="Arial" w:hAnsi="Arial" w:cs="Arial"/>
    </w:rPr>
  </w:style>
  <w:style w:type="paragraph" w:styleId="EnvelopeReturn">
    <w:name w:val="envelope return"/>
    <w:basedOn w:val="Normal"/>
    <w:rsid w:val="00C22B6F"/>
    <w:rPr>
      <w:rFonts w:ascii="Arial" w:hAnsi="Arial" w:cs="Arial"/>
      <w:sz w:val="20"/>
      <w:szCs w:val="20"/>
    </w:rPr>
  </w:style>
  <w:style w:type="paragraph" w:styleId="BalloonText">
    <w:name w:val="Balloon Text"/>
    <w:basedOn w:val="Normal"/>
    <w:semiHidden/>
    <w:rsid w:val="00C22B6F"/>
    <w:rPr>
      <w:rFonts w:ascii="Tahoma" w:hAnsi="Tahoma" w:cs="Tahoma"/>
      <w:sz w:val="16"/>
      <w:szCs w:val="16"/>
    </w:rPr>
  </w:style>
  <w:style w:type="paragraph" w:styleId="Header">
    <w:name w:val="header"/>
    <w:basedOn w:val="Normal"/>
    <w:link w:val="HeaderChar"/>
    <w:rsid w:val="006A21AE"/>
    <w:pPr>
      <w:tabs>
        <w:tab w:val="center" w:pos="4680"/>
        <w:tab w:val="right" w:pos="9360"/>
      </w:tabs>
    </w:pPr>
  </w:style>
  <w:style w:type="character" w:styleId="Hyperlink">
    <w:name w:val="Hyperlink"/>
    <w:basedOn w:val="DefaultParagraphFont"/>
    <w:rsid w:val="00C22B6F"/>
    <w:rPr>
      <w:color w:val="0000FF"/>
      <w:u w:val="single"/>
    </w:rPr>
  </w:style>
  <w:style w:type="character" w:customStyle="1" w:styleId="HeaderChar">
    <w:name w:val="Header Char"/>
    <w:basedOn w:val="DefaultParagraphFont"/>
    <w:link w:val="Header"/>
    <w:rsid w:val="006A21AE"/>
    <w:rPr>
      <w:sz w:val="24"/>
      <w:szCs w:val="24"/>
    </w:rPr>
  </w:style>
  <w:style w:type="paragraph" w:styleId="Footer">
    <w:name w:val="footer"/>
    <w:basedOn w:val="Normal"/>
    <w:link w:val="FooterChar"/>
    <w:rsid w:val="006A21AE"/>
    <w:pPr>
      <w:tabs>
        <w:tab w:val="center" w:pos="4680"/>
        <w:tab w:val="right" w:pos="9360"/>
      </w:tabs>
    </w:pPr>
  </w:style>
  <w:style w:type="character" w:customStyle="1" w:styleId="FooterChar">
    <w:name w:val="Footer Char"/>
    <w:basedOn w:val="DefaultParagraphFont"/>
    <w:link w:val="Footer"/>
    <w:rsid w:val="006A21AE"/>
    <w:rPr>
      <w:sz w:val="24"/>
      <w:szCs w:val="24"/>
    </w:rPr>
  </w:style>
  <w:style w:type="character" w:styleId="Strong">
    <w:name w:val="Strong"/>
    <w:basedOn w:val="DefaultParagraphFont"/>
    <w:qFormat/>
    <w:rsid w:val="006A21AE"/>
    <w:rPr>
      <w:b/>
      <w:bCs/>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header" Target="header2.xml"/><Relationship Id="rId3" Type="http://schemas.openxmlformats.org/officeDocument/2006/relationships/settings" Target="settings.xml"/><Relationship Id="rId7" Type="http://schemas.openxmlformats.org/officeDocument/2006/relationships/header" Target="head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header" Target="header3.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1" Type="http://schemas.openxmlformats.org/officeDocument/2006/relationships/image" Target="media/image1.jpeg"/></Relationships>
</file>

<file path=word/_rels/header3.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10</TotalTime>
  <Pages>1</Pages>
  <Words>474</Words>
  <Characters>2704</Characters>
  <Application>Microsoft Office Word</Application>
  <DocSecurity>0</DocSecurity>
  <Lines>22</Lines>
  <Paragraphs>6</Paragraphs>
  <ScaleCrop>false</ScaleCrop>
  <HeadingPairs>
    <vt:vector size="2" baseType="variant">
      <vt:variant>
        <vt:lpstr>Title</vt:lpstr>
      </vt:variant>
      <vt:variant>
        <vt:i4>1</vt:i4>
      </vt:variant>
    </vt:vector>
  </HeadingPairs>
  <TitlesOfParts>
    <vt:vector size="1" baseType="lpstr">
      <vt:lpstr>Dear Savvy Investor:</vt:lpstr>
    </vt:vector>
  </TitlesOfParts>
  <Company/>
  <LinksUpToDate>false</LinksUpToDate>
  <CharactersWithSpaces>3172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Dear Savvy Investor:</dc:title>
  <dc:creator>Jim Masie</dc:creator>
  <cp:lastModifiedBy>Josh Cantwell</cp:lastModifiedBy>
  <cp:revision>6</cp:revision>
  <cp:lastPrinted>2003-08-05T17:31:00Z</cp:lastPrinted>
  <dcterms:created xsi:type="dcterms:W3CDTF">2011-09-09T14:33:00Z</dcterms:created>
  <dcterms:modified xsi:type="dcterms:W3CDTF">2012-05-04T02:30:00Z</dcterms:modified>
</cp:coreProperties>
</file>